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F4EC0" w14:textId="77777777" w:rsidR="00503464" w:rsidRDefault="00F835EF">
      <w:pPr>
        <w:pStyle w:val="Sous-titre1"/>
        <w:spacing w:after="100" w:line="252" w:lineRule="auto"/>
      </w:pPr>
      <w:r>
        <w:t>TOOTAK ACADEMY</w:t>
      </w:r>
    </w:p>
    <w:p w14:paraId="573CE794" w14:textId="77777777" w:rsidR="00503464" w:rsidRDefault="00F835EF">
      <w:pPr>
        <w:pStyle w:val="Titre"/>
        <w:spacing w:after="100" w:line="252" w:lineRule="auto"/>
      </w:pPr>
      <w:r>
        <w:t>Construire déployer et faire accepter une nouvelle stratégie</w:t>
      </w:r>
    </w:p>
    <w:p w14:paraId="568CF72D" w14:textId="77777777" w:rsidR="00503464" w:rsidRDefault="00F835EF">
      <w:pPr>
        <w:pStyle w:val="Sous-titre1"/>
        <w:spacing w:after="100" w:line="252" w:lineRule="auto"/>
      </w:pPr>
      <w:r>
        <w:t>Fiche programme</w:t>
      </w:r>
    </w:p>
    <w:p w14:paraId="78F34E17" w14:textId="77777777" w:rsidR="00503464" w:rsidRDefault="00F835EF">
      <w:pPr>
        <w:spacing w:after="100" w:line="252" w:lineRule="auto"/>
      </w:pPr>
      <w:r>
        <w:t>Ce parcours fait partie de la collection « Diriger au sommet ». Il peut être suivi seul ou en complément du parcours « Prendre soin de soi pour une performance durable ».</w:t>
      </w:r>
    </w:p>
    <w:p w14:paraId="2907B2E8" w14:textId="77777777" w:rsidR="003E029F" w:rsidRDefault="000C76FC">
      <w:pPr>
        <w:spacing w:after="100" w:line="252" w:lineRule="auto"/>
      </w:pPr>
      <w:r>
        <w:rPr>
          <w:b/>
          <w:color w:val="660044"/>
          <w:sz w:val="24"/>
        </w:rPr>
        <w:t>La stratégie n’est pas un plan. C’est une discipline de choix, d’allocation des moyens, de mouvement et d’embarquement.</w:t>
      </w:r>
    </w:p>
    <w:p w14:paraId="27672D26" w14:textId="77777777" w:rsidR="003E029F" w:rsidRDefault="000C76FC">
      <w:pPr>
        <w:spacing w:after="100" w:line="252" w:lineRule="auto"/>
      </w:pPr>
      <w:r>
        <w:t xml:space="preserve">Ce parcours propose aux dirigeants et futurs dirigeants une approche exigeante et vivante de la stratégie : partir d’une intention réellement </w:t>
      </w:r>
      <w:proofErr w:type="spellStart"/>
      <w:r>
        <w:t>arbitrante</w:t>
      </w:r>
      <w:proofErr w:type="spellEnd"/>
      <w:r>
        <w:t>, comprendre le terrain, concentrer les moyens, séquencer l’action, décider dans l’incertitude et créer les conditions d’acceptation d’une transformation. Les grands récits historiques servent de révélateurs ; les dirigeants et grands témoins ramènent la réflexion dans le réel de l’entreprise.</w:t>
      </w:r>
    </w:p>
    <w:tbl>
      <w:tblPr>
        <w:tblW w:w="0" w:type="auto"/>
        <w:jc w:val="center"/>
        <w:tblLayout w:type="fixed"/>
        <w:tblLook w:val="04A0" w:firstRow="1" w:lastRow="0" w:firstColumn="1" w:lastColumn="0" w:noHBand="0" w:noVBand="1"/>
      </w:tblPr>
      <w:tblGrid>
        <w:gridCol w:w="2381"/>
        <w:gridCol w:w="7143"/>
      </w:tblGrid>
      <w:tr w:rsidR="003E029F" w14:paraId="0DC61337"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3C3BCD7E" w14:textId="77777777" w:rsidR="003E029F" w:rsidRDefault="000C76FC">
            <w:pPr>
              <w:spacing w:after="0"/>
            </w:pPr>
            <w:r>
              <w:rPr>
                <w:b/>
                <w:color w:val="315D7A"/>
                <w:sz w:val="20"/>
              </w:rPr>
              <w:t>Promesse</w:t>
            </w:r>
          </w:p>
        </w:tc>
        <w:tc>
          <w:tcPr>
            <w:tcW w:w="7143" w:type="dxa"/>
            <w:tcBorders>
              <w:bottom w:val="single" w:sz="4" w:space="0" w:color="E5E9ED"/>
            </w:tcBorders>
            <w:tcMar>
              <w:top w:w="85" w:type="dxa"/>
              <w:left w:w="110" w:type="dxa"/>
              <w:bottom w:w="85" w:type="dxa"/>
              <w:right w:w="110" w:type="dxa"/>
            </w:tcMar>
            <w:vAlign w:val="center"/>
          </w:tcPr>
          <w:p w14:paraId="5D472793" w14:textId="77777777" w:rsidR="003E029F" w:rsidRDefault="000C76FC">
            <w:pPr>
              <w:spacing w:after="0"/>
            </w:pPr>
            <w:r>
              <w:rPr>
                <w:sz w:val="20"/>
              </w:rPr>
              <w:t>Aider les dirigeants à passer de l’ambition stratégique à des choix explicites, puis de ces choix à une transformation réellement déployée et acceptée.</w:t>
            </w:r>
          </w:p>
        </w:tc>
      </w:tr>
      <w:tr w:rsidR="003E029F" w14:paraId="066F0BAD"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02DBCC2C" w14:textId="77777777" w:rsidR="003E029F" w:rsidRDefault="000C76FC">
            <w:pPr>
              <w:spacing w:after="0"/>
            </w:pPr>
            <w:r>
              <w:rPr>
                <w:b/>
                <w:color w:val="315D7A"/>
                <w:sz w:val="20"/>
              </w:rPr>
              <w:t>Public</w:t>
            </w:r>
          </w:p>
        </w:tc>
        <w:tc>
          <w:tcPr>
            <w:tcW w:w="7143" w:type="dxa"/>
            <w:tcBorders>
              <w:bottom w:val="single" w:sz="4" w:space="0" w:color="E5E9ED"/>
            </w:tcBorders>
            <w:tcMar>
              <w:top w:w="85" w:type="dxa"/>
              <w:left w:w="110" w:type="dxa"/>
              <w:bottom w:w="85" w:type="dxa"/>
              <w:right w:w="110" w:type="dxa"/>
            </w:tcMar>
            <w:vAlign w:val="center"/>
          </w:tcPr>
          <w:p w14:paraId="45346763" w14:textId="77777777" w:rsidR="003E029F" w:rsidRDefault="000C76FC">
            <w:pPr>
              <w:spacing w:after="0"/>
            </w:pPr>
            <w:r>
              <w:rPr>
                <w:sz w:val="20"/>
              </w:rPr>
              <w:t xml:space="preserve">Membres de Comex / Comex-1, dirigeants de BU ou de fonctions, futurs dirigeants, populations High </w:t>
            </w:r>
            <w:proofErr w:type="spellStart"/>
            <w:r>
              <w:rPr>
                <w:sz w:val="20"/>
              </w:rPr>
              <w:t>Potential</w:t>
            </w:r>
            <w:proofErr w:type="spellEnd"/>
            <w:r>
              <w:rPr>
                <w:sz w:val="20"/>
              </w:rPr>
              <w:t>.</w:t>
            </w:r>
          </w:p>
        </w:tc>
      </w:tr>
      <w:tr w:rsidR="003E029F" w14:paraId="274D6540"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6D1F93A2" w14:textId="77777777" w:rsidR="003E029F" w:rsidRDefault="000C76FC">
            <w:pPr>
              <w:spacing w:after="0"/>
            </w:pPr>
            <w:r>
              <w:rPr>
                <w:b/>
                <w:color w:val="315D7A"/>
                <w:sz w:val="20"/>
              </w:rPr>
              <w:t>Approche</w:t>
            </w:r>
          </w:p>
        </w:tc>
        <w:tc>
          <w:tcPr>
            <w:tcW w:w="7143" w:type="dxa"/>
            <w:tcBorders>
              <w:bottom w:val="single" w:sz="4" w:space="0" w:color="E5E9ED"/>
            </w:tcBorders>
            <w:tcMar>
              <w:top w:w="85" w:type="dxa"/>
              <w:left w:w="110" w:type="dxa"/>
              <w:bottom w:w="85" w:type="dxa"/>
              <w:right w:w="110" w:type="dxa"/>
            </w:tcMar>
            <w:vAlign w:val="center"/>
          </w:tcPr>
          <w:p w14:paraId="6F6F98FF" w14:textId="77777777" w:rsidR="003E029F" w:rsidRDefault="000C76FC">
            <w:pPr>
              <w:spacing w:after="0"/>
            </w:pPr>
            <w:r>
              <w:rPr>
                <w:sz w:val="20"/>
              </w:rPr>
              <w:t xml:space="preserve">Sept narrations de grands stratèges, transposées à l’entreprise avec Hervé </w:t>
            </w:r>
            <w:proofErr w:type="spellStart"/>
            <w:r>
              <w:rPr>
                <w:sz w:val="20"/>
              </w:rPr>
              <w:t>Baculard</w:t>
            </w:r>
            <w:proofErr w:type="spellEnd"/>
            <w:r>
              <w:rPr>
                <w:sz w:val="20"/>
              </w:rPr>
              <w:t xml:space="preserve">, complétées par des interviews de dirigeants, grands témoins et une </w:t>
            </w:r>
            <w:proofErr w:type="spellStart"/>
            <w:r>
              <w:rPr>
                <w:sz w:val="20"/>
              </w:rPr>
              <w:t>masterclass</w:t>
            </w:r>
            <w:proofErr w:type="spellEnd"/>
            <w:r>
              <w:rPr>
                <w:sz w:val="20"/>
              </w:rPr>
              <w:t>.</w:t>
            </w:r>
          </w:p>
        </w:tc>
      </w:tr>
      <w:tr w:rsidR="003E029F" w14:paraId="509BADBC"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5F321068" w14:textId="77777777" w:rsidR="003E029F" w:rsidRDefault="000C76FC">
            <w:pPr>
              <w:spacing w:after="0"/>
            </w:pPr>
            <w:r>
              <w:rPr>
                <w:b/>
                <w:color w:val="315D7A"/>
                <w:sz w:val="20"/>
              </w:rPr>
              <w:t>Usage recommandé</w:t>
            </w:r>
          </w:p>
        </w:tc>
        <w:tc>
          <w:tcPr>
            <w:tcW w:w="7143" w:type="dxa"/>
            <w:tcBorders>
              <w:bottom w:val="single" w:sz="4" w:space="0" w:color="E5E9ED"/>
            </w:tcBorders>
            <w:tcMar>
              <w:top w:w="85" w:type="dxa"/>
              <w:left w:w="110" w:type="dxa"/>
              <w:bottom w:w="85" w:type="dxa"/>
              <w:right w:w="110" w:type="dxa"/>
            </w:tcMar>
            <w:vAlign w:val="center"/>
          </w:tcPr>
          <w:p w14:paraId="1EAC3C8D" w14:textId="77777777" w:rsidR="003E029F" w:rsidRDefault="000C76FC">
            <w:pPr>
              <w:spacing w:after="0"/>
            </w:pPr>
            <w:r>
              <w:rPr>
                <w:sz w:val="20"/>
              </w:rPr>
              <w:t>Séminaire stratégique, parcours exécutif, préparation d’un cycle de planification, accompagnement d’une transformation ou développement de la culture stratégique d’un vivier de dirigeants.</w:t>
            </w:r>
          </w:p>
        </w:tc>
      </w:tr>
    </w:tbl>
    <w:p w14:paraId="7F64EE31" w14:textId="77777777" w:rsidR="003E029F" w:rsidRDefault="000C76FC">
      <w:pPr>
        <w:pStyle w:val="Titre2"/>
        <w:spacing w:before="0" w:line="252" w:lineRule="auto"/>
      </w:pPr>
      <w:r>
        <w:t>Objectifs pédagogiques</w:t>
      </w:r>
    </w:p>
    <w:p w14:paraId="5E12D964" w14:textId="77777777" w:rsidR="003E029F" w:rsidRPr="00A31276" w:rsidRDefault="000C76FC">
      <w:pPr>
        <w:pStyle w:val="Listepuces"/>
        <w:spacing w:after="100" w:line="252" w:lineRule="auto"/>
        <w:rPr>
          <w:lang w:val="fr-FR"/>
        </w:rPr>
      </w:pPr>
      <w:r w:rsidRPr="00A31276">
        <w:rPr>
          <w:lang w:val="fr-FR"/>
        </w:rPr>
        <w:t xml:space="preserve">Clarifier une intention stratégique réellement </w:t>
      </w:r>
      <w:proofErr w:type="spellStart"/>
      <w:r w:rsidRPr="00A31276">
        <w:rPr>
          <w:lang w:val="fr-FR"/>
        </w:rPr>
        <w:t>arbitrante</w:t>
      </w:r>
      <w:proofErr w:type="spellEnd"/>
      <w:r w:rsidRPr="00A31276">
        <w:rPr>
          <w:lang w:val="fr-FR"/>
        </w:rPr>
        <w:t>, en distinguant l’ambition générale d’une stratégie qui oblige à choisir, renoncer et concentrer les moyens.</w:t>
      </w:r>
    </w:p>
    <w:p w14:paraId="142ABA75" w14:textId="77777777" w:rsidR="003E029F" w:rsidRPr="00A31276" w:rsidRDefault="000C76FC">
      <w:pPr>
        <w:pStyle w:val="Listepuces"/>
        <w:spacing w:after="100" w:line="252" w:lineRule="auto"/>
        <w:rPr>
          <w:lang w:val="fr-FR"/>
        </w:rPr>
      </w:pPr>
      <w:r w:rsidRPr="00A31276">
        <w:rPr>
          <w:lang w:val="fr-FR"/>
        </w:rPr>
        <w:t>Évaluer la robustesse d’une stratégie face au réel, en identifiant les frictions, les dépendances, le terrain d’action, les points de blocage et le centre de gravité à protéger ou atteindre.</w:t>
      </w:r>
    </w:p>
    <w:p w14:paraId="463FC7E9" w14:textId="77777777" w:rsidR="003E029F" w:rsidRPr="00A31276" w:rsidRDefault="000C76FC">
      <w:pPr>
        <w:pStyle w:val="Listepuces"/>
        <w:spacing w:after="100" w:line="252" w:lineRule="auto"/>
        <w:rPr>
          <w:lang w:val="fr-FR"/>
        </w:rPr>
      </w:pPr>
      <w:r w:rsidRPr="00A31276">
        <w:rPr>
          <w:lang w:val="fr-FR"/>
        </w:rPr>
        <w:t>Transformer une stratégie en séquence d’action, en articulant allocation des ressources, cadencement des initiatives, priorités, renoncements et conditions de déploiement.</w:t>
      </w:r>
    </w:p>
    <w:p w14:paraId="17E51255" w14:textId="77777777" w:rsidR="003E029F" w:rsidRPr="00A31276" w:rsidRDefault="000C76FC">
      <w:pPr>
        <w:pStyle w:val="Listepuces"/>
        <w:spacing w:after="100" w:line="252" w:lineRule="auto"/>
        <w:rPr>
          <w:lang w:val="fr-FR"/>
        </w:rPr>
      </w:pPr>
      <w:r w:rsidRPr="00A31276">
        <w:rPr>
          <w:lang w:val="fr-FR"/>
        </w:rPr>
        <w:t>Faire accepter et embarquer autour d’une transformation, en intégrant dialogue, conflictualité fructueuse, compromis, héritage, confiance et parties prenantes.</w:t>
      </w:r>
    </w:p>
    <w:p w14:paraId="49FD14CE" w14:textId="77777777" w:rsidR="003E029F" w:rsidRDefault="000C76FC">
      <w:pPr>
        <w:pStyle w:val="Listepuces"/>
        <w:spacing w:after="100" w:line="252" w:lineRule="auto"/>
        <w:rPr>
          <w:lang w:val="fr-FR"/>
        </w:rPr>
      </w:pPr>
      <w:r w:rsidRPr="00A31276">
        <w:rPr>
          <w:lang w:val="fr-FR"/>
        </w:rPr>
        <w:t>Développer une posture de stratège au quotidien, capable de décider dans l’incertitude, de préserver les équilibres essentiels et de faire vivre la stratégie dans les choix opérationnels.</w:t>
      </w:r>
    </w:p>
    <w:p w14:paraId="0D13F915" w14:textId="77777777" w:rsidR="003E029F" w:rsidRDefault="000C76FC">
      <w:pPr>
        <w:pStyle w:val="Titre2"/>
        <w:spacing w:before="0" w:line="252" w:lineRule="auto"/>
      </w:pPr>
      <w:r>
        <w:lastRenderedPageBreak/>
        <w:t>Les épisodes disponibles et en cours d’enrichissement</w:t>
      </w:r>
    </w:p>
    <w:p w14:paraId="524750BA" w14:textId="77777777" w:rsidR="00A31276" w:rsidRDefault="00A31276" w:rsidP="00A31276">
      <w:pPr>
        <w:pStyle w:val="EpisodeTitle"/>
        <w:spacing w:before="100" w:after="100" w:line="252" w:lineRule="auto"/>
      </w:pPr>
      <w:r>
        <w:t xml:space="preserve">Épisode </w:t>
      </w:r>
      <w:proofErr w:type="spellStart"/>
      <w:r>
        <w:t>Masterclass</w:t>
      </w:r>
      <w:proofErr w:type="spellEnd"/>
      <w:r>
        <w:t xml:space="preserve">, ouverture — Hervé </w:t>
      </w:r>
      <w:proofErr w:type="spellStart"/>
      <w:r>
        <w:t>Baculard</w:t>
      </w:r>
      <w:proofErr w:type="spellEnd"/>
      <w:r>
        <w:t xml:space="preserve"> — La stratégie, de la réflexion à la mise en œuvre</w:t>
      </w:r>
    </w:p>
    <w:p w14:paraId="14F0CEF5" w14:textId="77777777" w:rsidR="00A31276" w:rsidRDefault="00A31276" w:rsidP="00A31276">
      <w:pPr>
        <w:pStyle w:val="EpisodeMeta"/>
        <w:spacing w:after="100" w:line="252" w:lineRule="auto"/>
      </w:pPr>
      <w:proofErr w:type="spellStart"/>
      <w:r>
        <w:t>Masterclass</w:t>
      </w:r>
      <w:proofErr w:type="spellEnd"/>
      <w:r>
        <w:t xml:space="preserve"> — environ 30 minutes</w:t>
      </w:r>
    </w:p>
    <w:p w14:paraId="7540493E" w14:textId="77777777" w:rsidR="00A31276" w:rsidRDefault="00A31276" w:rsidP="00A31276">
      <w:pPr>
        <w:pStyle w:val="EpisodeMeta"/>
        <w:spacing w:after="100" w:line="252" w:lineRule="auto"/>
      </w:pPr>
      <w:r>
        <w:rPr>
          <w:b/>
        </w:rPr>
        <w:t xml:space="preserve">Avec : </w:t>
      </w:r>
      <w:r>
        <w:t xml:space="preserve">Hervé </w:t>
      </w:r>
      <w:proofErr w:type="spellStart"/>
      <w:r>
        <w:t>Baculard</w:t>
      </w:r>
      <w:proofErr w:type="spellEnd"/>
      <w:r>
        <w:t xml:space="preserve"> — cofondateur de KEA ; initiateur de l’Université / Académie de la stratégie de KEA.</w:t>
      </w:r>
    </w:p>
    <w:p w14:paraId="3E46D13A" w14:textId="77777777" w:rsidR="00A31276" w:rsidRDefault="00A31276" w:rsidP="00A31276">
      <w:pPr>
        <w:spacing w:after="100" w:line="252" w:lineRule="auto"/>
      </w:pPr>
      <w:r>
        <w:t>Une synthèse structurante pour relier les différents angles du parcours : concevoir une stratégie, arbitrer, engager les moyens, préparer le déploiement et installer les conditions de mise en œuvre.</w:t>
      </w:r>
    </w:p>
    <w:p w14:paraId="3DD561BB" w14:textId="77777777" w:rsidR="003E029F" w:rsidRDefault="000C76FC">
      <w:pPr>
        <w:pStyle w:val="EpisodeTitle"/>
        <w:spacing w:before="100" w:after="100" w:line="252" w:lineRule="auto"/>
      </w:pPr>
      <w:r>
        <w:t>Épisode #01 — André Beaufre — L’intention stratégique</w:t>
      </w:r>
    </w:p>
    <w:p w14:paraId="3E131D99"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7E63482D" w14:textId="77777777" w:rsidR="003E029F" w:rsidRDefault="000C76FC">
      <w:pPr>
        <w:spacing w:after="100" w:line="252" w:lineRule="auto"/>
      </w:pPr>
      <w:r>
        <w:t>Une stratégie commence par une intention claire : ce que l’on cherche réellement à obtenir. L’épisode distingue l’ambition générale de l’intention stratégique, qui oblige à choisir, à renoncer et à aligner les moyens. Un point de départ puissant pour aider un Comex à formuler sa stratégie en une phrase non ambiguë.</w:t>
      </w:r>
    </w:p>
    <w:p w14:paraId="41D4DF22" w14:textId="77777777" w:rsidR="003E029F" w:rsidRDefault="000C76FC">
      <w:pPr>
        <w:pStyle w:val="EpisodeTitle"/>
        <w:spacing w:before="100" w:after="100" w:line="252" w:lineRule="auto"/>
      </w:pPr>
      <w:r>
        <w:t>Épisode #02 — Carl von Clausewitz — Le cap, la friction et le centre de gravité</w:t>
      </w:r>
    </w:p>
    <w:p w14:paraId="1E80EDB3"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532BB768" w14:textId="77777777" w:rsidR="003E029F" w:rsidRDefault="000C76FC">
      <w:pPr>
        <w:spacing w:after="100" w:line="252" w:lineRule="auto"/>
      </w:pPr>
      <w:r>
        <w:t>Clausewitz éclaire l’écart entre le plan et le réel. Une stratégie rencontre toujours des frictions : résistances, lenteurs, mauvaises informations, fatigue ou jeux d’acteurs. L’épisode aide à identifier ce qui peut faire échouer un plan et le centre de gravité qu’il faut protéger ou atteindre.</w:t>
      </w:r>
    </w:p>
    <w:p w14:paraId="4F27E048" w14:textId="77777777" w:rsidR="003E029F" w:rsidRDefault="000C76FC">
      <w:pPr>
        <w:pStyle w:val="EpisodeTitle"/>
        <w:spacing w:before="100" w:after="100" w:line="252" w:lineRule="auto"/>
      </w:pPr>
      <w:r>
        <w:t>Épisode #03 — Halford John Mackinder — La compréhension du milieu</w:t>
      </w:r>
    </w:p>
    <w:p w14:paraId="47D3F948"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2A0F11CE" w14:textId="77777777" w:rsidR="003E029F" w:rsidRDefault="000C76FC">
      <w:pPr>
        <w:spacing w:after="100" w:line="252" w:lineRule="auto"/>
      </w:pPr>
      <w:r>
        <w:t>Aucune stratégie sérieuse ne peut ignorer son terrain réel. Le milieu dépasse le marché : ressources, infrastructures, dépendances, régulations, talents, accès client, technologies et points de contrôle. Un épisode pour éviter les stratégies séduisantes mais hors sol.</w:t>
      </w:r>
    </w:p>
    <w:p w14:paraId="1F2ACCBA" w14:textId="77777777" w:rsidR="003E029F" w:rsidRDefault="000C76FC">
      <w:pPr>
        <w:pStyle w:val="EpisodeTitle"/>
        <w:spacing w:before="100" w:after="100" w:line="252" w:lineRule="auto"/>
      </w:pPr>
      <w:r>
        <w:t>Épisode #04 — Ferdinand Foch — L’allocation des ressources</w:t>
      </w:r>
    </w:p>
    <w:p w14:paraId="47FCBA96"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458EDD1D" w14:textId="77777777" w:rsidR="003E029F" w:rsidRDefault="000C76FC">
      <w:pPr>
        <w:spacing w:after="100" w:line="252" w:lineRule="auto"/>
      </w:pPr>
      <w:r>
        <w:t>La stratégie se voit dans l’allocation réelle des ressources. Concentrer les forces, économiser les moyens et préserver sa liberté d’action deviennent des disciplines de Comex. Un épisode pour sortir de l’addition de priorités et assumer les vrais choix.</w:t>
      </w:r>
    </w:p>
    <w:p w14:paraId="14C58C76" w14:textId="77777777" w:rsidR="003E029F" w:rsidRDefault="000C76FC">
      <w:pPr>
        <w:pStyle w:val="EpisodeTitle"/>
        <w:spacing w:before="100" w:after="100" w:line="252" w:lineRule="auto"/>
      </w:pPr>
      <w:r>
        <w:t>Épisode #05 — Mikhaïl Toukhatchevski — Le cadencement de l’action</w:t>
      </w:r>
    </w:p>
    <w:p w14:paraId="79AA460F"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144E9A53" w14:textId="77777777" w:rsidR="003E029F" w:rsidRDefault="000C76FC">
      <w:pPr>
        <w:spacing w:after="100" w:line="252" w:lineRule="auto"/>
      </w:pPr>
      <w:r>
        <w:t>Une stratégie ne vaut pas seulement par la qualité des initiatives, mais par l’ordre dans lequel elles sont engagées et par leur effet cumulatif. L’épisode aide à transformer une liste de chantiers en séquence stratégique : préparer, déclencher, amplifier, consolider.</w:t>
      </w:r>
    </w:p>
    <w:p w14:paraId="268312C8" w14:textId="77777777" w:rsidR="003E029F" w:rsidRDefault="000C76FC">
      <w:pPr>
        <w:pStyle w:val="EpisodeTitle"/>
        <w:spacing w:before="100" w:after="100" w:line="252" w:lineRule="auto"/>
      </w:pPr>
      <w:r>
        <w:t>Épisode #06 — Henry Kissinger — Préserver les équilibres et anticiper les ruptures</w:t>
      </w:r>
    </w:p>
    <w:p w14:paraId="0D745814"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4363AD70" w14:textId="77777777" w:rsidR="003E029F" w:rsidRDefault="000C76FC">
      <w:pPr>
        <w:spacing w:after="100" w:line="252" w:lineRule="auto"/>
      </w:pPr>
      <w:r>
        <w:t>Que faut-il préserver pendant que l’on transforme ? Kissinger permet de penser les équilibres qui rendent une rupture gouvernable. Une transformation réussie n’est pas une rupture généralisée : elle protège ce qui doit tenir pour rendre le changement soutenable.</w:t>
      </w:r>
    </w:p>
    <w:p w14:paraId="6201880A" w14:textId="77777777" w:rsidR="003E029F" w:rsidRDefault="000C76FC">
      <w:pPr>
        <w:pStyle w:val="EpisodeTitle"/>
        <w:spacing w:before="100" w:after="100" w:line="252" w:lineRule="auto"/>
      </w:pPr>
      <w:r>
        <w:lastRenderedPageBreak/>
        <w:t>Épisode #07 — Napoléon Bonaparte — Le coup d’œil du chef en situation</w:t>
      </w:r>
    </w:p>
    <w:p w14:paraId="6FCCC61D" w14:textId="77777777" w:rsidR="003E029F" w:rsidRDefault="000C76FC">
      <w:pPr>
        <w:pStyle w:val="EpisodeMeta"/>
        <w:spacing w:after="100" w:line="252" w:lineRule="auto"/>
      </w:pPr>
      <w:r>
        <w:t xml:space="preserve">Narration stratégique — avec Hervé </w:t>
      </w:r>
      <w:proofErr w:type="spellStart"/>
      <w:r>
        <w:t>Baculard</w:t>
      </w:r>
      <w:proofErr w:type="spellEnd"/>
    </w:p>
    <w:p w14:paraId="1DD9489D" w14:textId="77777777" w:rsidR="003E029F" w:rsidRDefault="000C76FC">
      <w:pPr>
        <w:spacing w:after="100" w:line="252" w:lineRule="auto"/>
      </w:pPr>
      <w:r>
        <w:t>Décider dans l’incertitude, sans attendre toutes les informations : le « coup d’œil » stratégique associe préparation, écoute du terrain et expérience. L’épisode montre aussi son revers, la surconfiance, et invite à penser le discernement autant que le courage de décider.</w:t>
      </w:r>
    </w:p>
    <w:p w14:paraId="33C36F1A" w14:textId="77777777" w:rsidR="003E029F" w:rsidRDefault="000C76FC">
      <w:pPr>
        <w:pStyle w:val="EpisodeTitle"/>
        <w:spacing w:before="100" w:after="100" w:line="252" w:lineRule="auto"/>
      </w:pPr>
      <w:r>
        <w:t>Épisode #08 — La stratégie vue de Laurent Berger — De l’acceptabilité à l’embarquement</w:t>
      </w:r>
    </w:p>
    <w:p w14:paraId="6B89F788" w14:textId="77777777" w:rsidR="003E029F" w:rsidRDefault="000C76FC">
      <w:pPr>
        <w:pStyle w:val="EpisodeMeta"/>
        <w:spacing w:after="100" w:line="252" w:lineRule="auto"/>
      </w:pPr>
      <w:r>
        <w:t>Interview grand témoin</w:t>
      </w:r>
    </w:p>
    <w:p w14:paraId="26EA1A5D" w14:textId="77777777" w:rsidR="003E029F" w:rsidRDefault="000C76FC">
      <w:pPr>
        <w:pStyle w:val="EpisodeMeta"/>
        <w:spacing w:after="100" w:line="252" w:lineRule="auto"/>
      </w:pPr>
      <w:r>
        <w:rPr>
          <w:b/>
        </w:rPr>
        <w:t xml:space="preserve">Avec : </w:t>
      </w:r>
      <w:r>
        <w:t>Laurent Berger — ancien secrétaire général de la CFDT ; directeur de l’Institut mutualiste pour l’environnement et la solidarité du Crédit Mutuel Alliance Fédérale.</w:t>
      </w:r>
    </w:p>
    <w:p w14:paraId="7E02224C" w14:textId="77777777" w:rsidR="003E029F" w:rsidRDefault="000C76FC">
      <w:pPr>
        <w:spacing w:after="100" w:line="252" w:lineRule="auto"/>
      </w:pPr>
      <w:r>
        <w:t>Partir d’un regard lucide sur la réalité, écouter ceux qui parlent le moins et construire un cap capable d’embarquer. Laurent Berger distingue l’acceptabilité de l’embarquement et défend la conflictualité fructueuse comme condition d’une stratégie réellement partagée. Un entretien sur le dialogue, la confiance, l’héritage et les voies de passage.</w:t>
      </w:r>
    </w:p>
    <w:p w14:paraId="32EAA683" w14:textId="77777777" w:rsidR="003E029F" w:rsidRDefault="003E029F">
      <w:pPr>
        <w:pStyle w:val="EpisodeLink"/>
        <w:spacing w:after="100" w:line="252" w:lineRule="auto"/>
      </w:pPr>
      <w:hyperlink r:id="rId10">
        <w:r>
          <w:rPr>
            <w:color w:val="315D7A"/>
            <w:u w:val="single"/>
          </w:rPr>
          <w:t>Écouter un extrait</w:t>
        </w:r>
      </w:hyperlink>
    </w:p>
    <w:p w14:paraId="6F02AE74" w14:textId="77777777" w:rsidR="003E029F" w:rsidRDefault="000C76FC">
      <w:pPr>
        <w:pStyle w:val="EpisodeTitle"/>
        <w:spacing w:before="100" w:after="100" w:line="252" w:lineRule="auto"/>
      </w:pPr>
      <w:r>
        <w:t>Épisode #09 — La stratégie vue de Marc Chollet — Du stratège aux stratégies qui s’appliquent vraiment</w:t>
      </w:r>
    </w:p>
    <w:p w14:paraId="54EB8130" w14:textId="77777777" w:rsidR="003E029F" w:rsidRDefault="000C76FC">
      <w:pPr>
        <w:pStyle w:val="EpisodeMeta"/>
        <w:spacing w:after="100" w:line="252" w:lineRule="auto"/>
      </w:pPr>
      <w:r>
        <w:t xml:space="preserve">Interview Top </w:t>
      </w:r>
      <w:proofErr w:type="spellStart"/>
      <w:r>
        <w:t>Executive</w:t>
      </w:r>
      <w:proofErr w:type="spellEnd"/>
      <w:r>
        <w:t xml:space="preserve"> stratégie</w:t>
      </w:r>
    </w:p>
    <w:p w14:paraId="69C801C0" w14:textId="77777777" w:rsidR="003E029F" w:rsidRDefault="000C76FC">
      <w:pPr>
        <w:pStyle w:val="EpisodeMeta"/>
        <w:spacing w:after="100" w:line="252" w:lineRule="auto"/>
      </w:pPr>
      <w:r>
        <w:rPr>
          <w:b/>
        </w:rPr>
        <w:t xml:space="preserve">Avec : </w:t>
      </w:r>
      <w:r>
        <w:t xml:space="preserve">Marc Chollet — ancien Chief </w:t>
      </w:r>
      <w:proofErr w:type="spellStart"/>
      <w:r>
        <w:t>Strategy</w:t>
      </w:r>
      <w:proofErr w:type="spellEnd"/>
      <w:r>
        <w:t xml:space="preserve"> </w:t>
      </w:r>
      <w:proofErr w:type="spellStart"/>
      <w:r>
        <w:t>Officer</w:t>
      </w:r>
      <w:proofErr w:type="spellEnd"/>
      <w:r>
        <w:t xml:space="preserve"> de </w:t>
      </w:r>
      <w:proofErr w:type="spellStart"/>
      <w:r>
        <w:t>Syensqo</w:t>
      </w:r>
      <w:proofErr w:type="spellEnd"/>
      <w:r>
        <w:t xml:space="preserve"> ; ancien dirigeant stratégie chez Rhodia, Solvay et </w:t>
      </w:r>
      <w:proofErr w:type="spellStart"/>
      <w:r>
        <w:t>Syensqo</w:t>
      </w:r>
      <w:proofErr w:type="spellEnd"/>
      <w:r>
        <w:t xml:space="preserve">. Avec Hervé </w:t>
      </w:r>
      <w:proofErr w:type="spellStart"/>
      <w:r>
        <w:t>Baculard</w:t>
      </w:r>
      <w:proofErr w:type="spellEnd"/>
      <w:r>
        <w:t xml:space="preserve"> et Pierre Denis.</w:t>
      </w:r>
    </w:p>
    <w:p w14:paraId="38F8117F" w14:textId="77777777" w:rsidR="003E029F" w:rsidRDefault="000C76FC">
      <w:pPr>
        <w:spacing w:after="100" w:line="252" w:lineRule="auto"/>
      </w:pPr>
      <w:r>
        <w:t>Marc Chollet montre que le métier de stratège consiste à faire des choix, allouer les ressources et transformer ces choix en actions suivies. À partir de son expérience de transformations, d’acquisitions, de cessions et de recentrages, il éclaire la stratégie comme discipline quotidienne de leadership et d’exécution.</w:t>
      </w:r>
    </w:p>
    <w:p w14:paraId="1FC3FA73" w14:textId="77777777" w:rsidR="003E029F" w:rsidRDefault="003E029F">
      <w:pPr>
        <w:pStyle w:val="EpisodeLink"/>
        <w:spacing w:after="100" w:line="252" w:lineRule="auto"/>
      </w:pPr>
      <w:hyperlink r:id="rId11">
        <w:r>
          <w:rPr>
            <w:color w:val="315D7A"/>
            <w:u w:val="single"/>
          </w:rPr>
          <w:t>Écouter un extrait</w:t>
        </w:r>
      </w:hyperlink>
    </w:p>
    <w:p w14:paraId="3C6BC1EE" w14:textId="77777777" w:rsidR="003E029F" w:rsidRDefault="000C76FC">
      <w:pPr>
        <w:pStyle w:val="Titre2"/>
        <w:spacing w:before="0" w:line="252" w:lineRule="auto"/>
      </w:pPr>
      <w:r>
        <w:t>Autres entretiens de la collection</w:t>
      </w:r>
    </w:p>
    <w:p w14:paraId="0CFB8B20" w14:textId="77777777" w:rsidR="003E029F" w:rsidRDefault="000C76FC">
      <w:pPr>
        <w:spacing w:after="100" w:line="252" w:lineRule="auto"/>
      </w:pPr>
      <w:r>
        <w:t>Perrine Bismuth, associée fondatrice de FrenchFood Capital, complète le parcours avec « La stratégie vue des start-up et des PME ». La collection continue de s’enrichir : les entretiens avec Dominique Schelcher, président-directeur général de Coopérative U, et Pierre Decroix, dirigeant de Suntory Beverage Europe, sont à venir.</w:t>
      </w:r>
    </w:p>
    <w:p w14:paraId="2914FEED" w14:textId="77777777" w:rsidR="00503464" w:rsidRDefault="00F835EF">
      <w:pPr>
        <w:pStyle w:val="Titre1"/>
        <w:pageBreakBefore/>
        <w:spacing w:before="0" w:after="100" w:line="252" w:lineRule="auto"/>
      </w:pPr>
      <w:r>
        <w:lastRenderedPageBreak/>
        <w:t>Modalités de déploiement</w:t>
      </w:r>
    </w:p>
    <w:p w14:paraId="25849BB2" w14:textId="77777777" w:rsidR="00503464" w:rsidRDefault="00F835EF">
      <w:pPr>
        <w:spacing w:after="100" w:line="252" w:lineRule="auto"/>
      </w:pPr>
      <w:r>
        <w:t>Écoute individuelle à la carte ou parcours séquencé, avant ou après un temps collectif. Le parcours peut nourrir la réflexion des dirigeants tout au long de l’année et s’intégrer à un programme talents, un séminaire ou une communauté de leaders.</w:t>
      </w:r>
    </w:p>
    <w:p w14:paraId="6B55CE15" w14:textId="77777777" w:rsidR="00503464" w:rsidRDefault="00F835EF">
      <w:pPr>
        <w:spacing w:after="100" w:line="252" w:lineRule="auto"/>
      </w:pPr>
      <w:r>
        <w:t>Langues : français et anglais, selon la disponibilité des épisodes.</w:t>
      </w:r>
    </w:p>
    <w:tbl>
      <w:tblPr>
        <w:tblW w:w="0" w:type="auto"/>
        <w:jc w:val="center"/>
        <w:tblLayout w:type="fixed"/>
        <w:tblLook w:val="04A0" w:firstRow="1" w:lastRow="0" w:firstColumn="1" w:lastColumn="0" w:noHBand="0" w:noVBand="1"/>
      </w:tblPr>
      <w:tblGrid>
        <w:gridCol w:w="2381"/>
        <w:gridCol w:w="7143"/>
      </w:tblGrid>
      <w:tr w:rsidR="003E029F" w14:paraId="3C7A0AEB"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55CFF456" w14:textId="77777777" w:rsidR="003E029F" w:rsidRDefault="000C76FC">
            <w:pPr>
              <w:spacing w:after="0"/>
            </w:pPr>
            <w:r>
              <w:rPr>
                <w:b/>
                <w:color w:val="315D7A"/>
                <w:sz w:val="20"/>
              </w:rPr>
              <w:t>Déploiement</w:t>
            </w:r>
          </w:p>
        </w:tc>
        <w:tc>
          <w:tcPr>
            <w:tcW w:w="7143" w:type="dxa"/>
            <w:tcBorders>
              <w:bottom w:val="single" w:sz="4" w:space="0" w:color="E5E9ED"/>
            </w:tcBorders>
            <w:tcMar>
              <w:top w:w="85" w:type="dxa"/>
              <w:left w:w="110" w:type="dxa"/>
              <w:bottom w:w="85" w:type="dxa"/>
              <w:right w:w="110" w:type="dxa"/>
            </w:tcMar>
            <w:vAlign w:val="center"/>
          </w:tcPr>
          <w:p w14:paraId="25DD790F" w14:textId="77777777" w:rsidR="003E029F" w:rsidRDefault="000C76FC">
            <w:pPr>
              <w:spacing w:after="0"/>
            </w:pPr>
            <w:r>
              <w:rPr>
                <w:sz w:val="20"/>
              </w:rPr>
              <w:t>Application Tootak, LMS / LXP ou mise à disposition des fichiers selon le dispositif retenu.</w:t>
            </w:r>
          </w:p>
        </w:tc>
      </w:tr>
      <w:tr w:rsidR="003E029F" w14:paraId="0A4D39ED"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3101A460" w14:textId="77777777" w:rsidR="003E029F" w:rsidRDefault="000C76FC">
            <w:pPr>
              <w:spacing w:after="0"/>
            </w:pPr>
            <w:r>
              <w:rPr>
                <w:b/>
                <w:color w:val="315D7A"/>
                <w:sz w:val="20"/>
              </w:rPr>
              <w:t>Animation</w:t>
            </w:r>
          </w:p>
        </w:tc>
        <w:tc>
          <w:tcPr>
            <w:tcW w:w="7143" w:type="dxa"/>
            <w:tcBorders>
              <w:bottom w:val="single" w:sz="4" w:space="0" w:color="E5E9ED"/>
            </w:tcBorders>
            <w:tcMar>
              <w:top w:w="85" w:type="dxa"/>
              <w:left w:w="110" w:type="dxa"/>
              <w:bottom w:w="85" w:type="dxa"/>
              <w:right w:w="110" w:type="dxa"/>
            </w:tcMar>
            <w:vAlign w:val="center"/>
          </w:tcPr>
          <w:p w14:paraId="270BC9E6" w14:textId="77777777" w:rsidR="003E029F" w:rsidRDefault="000C76FC">
            <w:pPr>
              <w:spacing w:after="0"/>
            </w:pPr>
            <w:r>
              <w:rPr>
                <w:sz w:val="20"/>
              </w:rPr>
              <w:t>Sélection de récits, aide à la construction du parcours, recommandations de moments d’écoute et accompagnement d’usage.</w:t>
            </w:r>
          </w:p>
        </w:tc>
      </w:tr>
      <w:tr w:rsidR="003E029F" w14:paraId="0126C687"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4FB3E382" w14:textId="77777777" w:rsidR="003E029F" w:rsidRDefault="000C76FC">
            <w:pPr>
              <w:spacing w:after="0"/>
            </w:pPr>
            <w:r>
              <w:rPr>
                <w:b/>
                <w:color w:val="315D7A"/>
                <w:sz w:val="20"/>
              </w:rPr>
              <w:t>Actualisation</w:t>
            </w:r>
          </w:p>
        </w:tc>
        <w:tc>
          <w:tcPr>
            <w:tcW w:w="7143" w:type="dxa"/>
            <w:tcBorders>
              <w:bottom w:val="single" w:sz="4" w:space="0" w:color="E5E9ED"/>
            </w:tcBorders>
            <w:tcMar>
              <w:top w:w="85" w:type="dxa"/>
              <w:left w:w="110" w:type="dxa"/>
              <w:bottom w:w="85" w:type="dxa"/>
              <w:right w:w="110" w:type="dxa"/>
            </w:tcMar>
            <w:vAlign w:val="center"/>
          </w:tcPr>
          <w:p w14:paraId="432BC4B9" w14:textId="77777777" w:rsidR="003E029F" w:rsidRDefault="000C76FC">
            <w:pPr>
              <w:spacing w:after="0"/>
            </w:pPr>
            <w:r>
              <w:rPr>
                <w:sz w:val="20"/>
              </w:rPr>
              <w:t>L’Academy s’enrichit de nouveaux programmes et de nouveaux épisodes au fil de l’année.</w:t>
            </w:r>
          </w:p>
        </w:tc>
      </w:tr>
      <w:tr w:rsidR="003E029F" w14:paraId="2F3E58E1" w14:textId="77777777">
        <w:trPr>
          <w:cantSplit/>
          <w:jc w:val="center"/>
        </w:trPr>
        <w:tc>
          <w:tcPr>
            <w:tcW w:w="2381" w:type="dxa"/>
            <w:tcBorders>
              <w:bottom w:val="single" w:sz="4" w:space="0" w:color="E5E9ED"/>
            </w:tcBorders>
            <w:shd w:val="clear" w:color="auto" w:fill="F3F5F7"/>
            <w:tcMar>
              <w:top w:w="85" w:type="dxa"/>
              <w:left w:w="110" w:type="dxa"/>
              <w:bottom w:w="85" w:type="dxa"/>
              <w:right w:w="110" w:type="dxa"/>
            </w:tcMar>
            <w:vAlign w:val="center"/>
          </w:tcPr>
          <w:p w14:paraId="479AC9F0" w14:textId="77777777" w:rsidR="003E029F" w:rsidRDefault="000C76FC">
            <w:pPr>
              <w:spacing w:after="0"/>
            </w:pPr>
            <w:r>
              <w:rPr>
                <w:b/>
                <w:color w:val="315D7A"/>
                <w:sz w:val="20"/>
              </w:rPr>
              <w:t>Logique d’usage</w:t>
            </w:r>
          </w:p>
        </w:tc>
        <w:tc>
          <w:tcPr>
            <w:tcW w:w="7143" w:type="dxa"/>
            <w:tcBorders>
              <w:bottom w:val="single" w:sz="4" w:space="0" w:color="E5E9ED"/>
            </w:tcBorders>
            <w:tcMar>
              <w:top w:w="85" w:type="dxa"/>
              <w:left w:w="110" w:type="dxa"/>
              <w:bottom w:w="85" w:type="dxa"/>
              <w:right w:w="110" w:type="dxa"/>
            </w:tcMar>
            <w:vAlign w:val="center"/>
          </w:tcPr>
          <w:p w14:paraId="1841CC11" w14:textId="77777777" w:rsidR="003E029F" w:rsidRDefault="000C76FC">
            <w:pPr>
              <w:spacing w:after="0"/>
            </w:pPr>
            <w:r>
              <w:rPr>
                <w:sz w:val="20"/>
              </w:rPr>
              <w:t>Préparer, ouvrir, ancrer, inspirer ou prolonger un temps de développement ; écoute individuelle ou collective.</w:t>
            </w:r>
          </w:p>
        </w:tc>
      </w:tr>
    </w:tbl>
    <w:p w14:paraId="05E48C21" w14:textId="77777777" w:rsidR="00503464" w:rsidRDefault="00F835EF">
      <w:pPr>
        <w:pStyle w:val="Titre1"/>
        <w:spacing w:before="0" w:after="100" w:line="252" w:lineRule="auto"/>
      </w:pPr>
      <w:r>
        <w:t>Votre projet</w:t>
      </w:r>
    </w:p>
    <w:p w14:paraId="2BE0800B" w14:textId="77777777" w:rsidR="00503464" w:rsidRDefault="00F835EF">
      <w:pPr>
        <w:spacing w:after="100" w:line="252" w:lineRule="auto"/>
      </w:pPr>
      <w:r>
        <w:t>Pour examiner la place de ce parcours dans votre dispositif de développement des dirigeants : contact@tootak.com — tootak.fr.</w:t>
      </w:r>
    </w:p>
    <w:sectPr w:rsidR="00503464">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2FED8" w14:textId="77777777" w:rsidR="00F835EF" w:rsidRDefault="00F835EF" w:rsidP="00E17837">
      <w:pPr>
        <w:spacing w:after="0" w:line="240" w:lineRule="auto"/>
      </w:pPr>
      <w:r>
        <w:separator/>
      </w:r>
    </w:p>
  </w:endnote>
  <w:endnote w:type="continuationSeparator" w:id="0">
    <w:p w14:paraId="20BC5262" w14:textId="77777777" w:rsidR="00F835EF" w:rsidRDefault="00F835EF" w:rsidP="00E17837">
      <w:pPr>
        <w:spacing w:after="0" w:line="240" w:lineRule="auto"/>
      </w:pPr>
      <w:r>
        <w:continuationSeparator/>
      </w:r>
    </w:p>
  </w:endnote>
  <w:endnote w:type="continuationNotice" w:id="1">
    <w:p w14:paraId="70F294BA" w14:textId="77777777" w:rsidR="00F835EF" w:rsidRDefault="00F835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8091" w14:textId="77777777" w:rsidR="00141827" w:rsidRDefault="00141827" w:rsidP="00141827">
    <w:pPr>
      <w:pStyle w:val="Pieddepage"/>
      <w:jc w:val="center"/>
    </w:pPr>
    <w:r>
      <w:t>TOOTAK – 3 rue Danton 92 240 Malakoff France - Port. : 06 61 65 26 23 - Site web : http://www.tootak.fr - Code NAF  6201Z - N° RCS 833456890 - NANTERRE</w:t>
    </w:r>
  </w:p>
  <w:p w14:paraId="54A2030E" w14:textId="77777777" w:rsidR="00E17837" w:rsidRPr="00141827" w:rsidRDefault="00141827" w:rsidP="00141827">
    <w:pPr>
      <w:pStyle w:val="Pieddepage"/>
      <w:jc w:val="center"/>
    </w:pPr>
    <w:r>
      <w:t>- SAS au capital social de 272 512 € - Siret : 83345618900012 - N° TVA FR64833456189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20574" w14:textId="77777777" w:rsidR="00F835EF" w:rsidRDefault="00F835EF" w:rsidP="00E17837">
      <w:pPr>
        <w:spacing w:after="0" w:line="240" w:lineRule="auto"/>
      </w:pPr>
      <w:r>
        <w:separator/>
      </w:r>
    </w:p>
  </w:footnote>
  <w:footnote w:type="continuationSeparator" w:id="0">
    <w:p w14:paraId="46486B81" w14:textId="77777777" w:rsidR="00F835EF" w:rsidRDefault="00F835EF" w:rsidP="00E17837">
      <w:pPr>
        <w:spacing w:after="0" w:line="240" w:lineRule="auto"/>
      </w:pPr>
      <w:r>
        <w:continuationSeparator/>
      </w:r>
    </w:p>
  </w:footnote>
  <w:footnote w:type="continuationNotice" w:id="1">
    <w:p w14:paraId="34CD037D" w14:textId="77777777" w:rsidR="00F835EF" w:rsidRDefault="00F835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4FB3" w14:textId="77777777" w:rsidR="00DF073B" w:rsidRDefault="00AA449F" w:rsidP="00AA449F">
    <w:pPr>
      <w:pStyle w:val="En-tte"/>
      <w:jc w:val="center"/>
    </w:pPr>
    <w:r w:rsidRPr="00AA449F">
      <w:rPr>
        <w:noProof/>
      </w:rPr>
      <w:drawing>
        <wp:inline distT="0" distB="0" distL="0" distR="0" wp14:anchorId="44CED077" wp14:editId="2DCAC23E">
          <wp:extent cx="909320" cy="511105"/>
          <wp:effectExtent l="0" t="0" r="508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24673" cy="519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60E5B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C60AFBD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324184F"/>
    <w:multiLevelType w:val="hybridMultilevel"/>
    <w:tmpl w:val="54162442"/>
    <w:lvl w:ilvl="0" w:tplc="474815B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12784F"/>
    <w:multiLevelType w:val="multilevel"/>
    <w:tmpl w:val="9DAA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90D45"/>
    <w:multiLevelType w:val="multilevel"/>
    <w:tmpl w:val="6FE634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33460C"/>
    <w:multiLevelType w:val="hybridMultilevel"/>
    <w:tmpl w:val="FCF4CCE2"/>
    <w:lvl w:ilvl="0" w:tplc="5AC46AF6">
      <w:start w:val="5"/>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873F80"/>
    <w:multiLevelType w:val="multilevel"/>
    <w:tmpl w:val="8CA044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031DA"/>
    <w:multiLevelType w:val="multilevel"/>
    <w:tmpl w:val="4F32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F03601"/>
    <w:multiLevelType w:val="multilevel"/>
    <w:tmpl w:val="F42E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C640A"/>
    <w:multiLevelType w:val="multilevel"/>
    <w:tmpl w:val="3D4E57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40E60"/>
    <w:multiLevelType w:val="multilevel"/>
    <w:tmpl w:val="6CA4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7251B"/>
    <w:multiLevelType w:val="multilevel"/>
    <w:tmpl w:val="7F98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430EE"/>
    <w:multiLevelType w:val="hybridMultilevel"/>
    <w:tmpl w:val="C8281C12"/>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13" w15:restartNumberingAfterBreak="0">
    <w:nsid w:val="2C2E2318"/>
    <w:multiLevelType w:val="multilevel"/>
    <w:tmpl w:val="05748E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3279EF"/>
    <w:multiLevelType w:val="multilevel"/>
    <w:tmpl w:val="3D369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5B3EEF"/>
    <w:multiLevelType w:val="multilevel"/>
    <w:tmpl w:val="0AB65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EE2E0A"/>
    <w:multiLevelType w:val="multilevel"/>
    <w:tmpl w:val="F472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343094"/>
    <w:multiLevelType w:val="hybridMultilevel"/>
    <w:tmpl w:val="65C0F878"/>
    <w:lvl w:ilvl="0" w:tplc="C9848860">
      <w:start w:val="5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2B04BC"/>
    <w:multiLevelType w:val="multilevel"/>
    <w:tmpl w:val="7DB4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6D57C0"/>
    <w:multiLevelType w:val="multilevel"/>
    <w:tmpl w:val="4848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D2D96"/>
    <w:multiLevelType w:val="hybridMultilevel"/>
    <w:tmpl w:val="BC360FE4"/>
    <w:lvl w:ilvl="0" w:tplc="8BA006F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62BF1590"/>
    <w:multiLevelType w:val="multilevel"/>
    <w:tmpl w:val="D2687B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7D4106"/>
    <w:multiLevelType w:val="hybridMultilevel"/>
    <w:tmpl w:val="A734F690"/>
    <w:lvl w:ilvl="0" w:tplc="6CA8C8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D6C1ED7"/>
    <w:multiLevelType w:val="multilevel"/>
    <w:tmpl w:val="CBA28E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CA56CC"/>
    <w:multiLevelType w:val="multilevel"/>
    <w:tmpl w:val="1E2CC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891685"/>
    <w:multiLevelType w:val="multilevel"/>
    <w:tmpl w:val="64AA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4412DD"/>
    <w:multiLevelType w:val="hybridMultilevel"/>
    <w:tmpl w:val="236C41FC"/>
    <w:lvl w:ilvl="0" w:tplc="810C4D3A">
      <w:start w:val="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7A276D"/>
    <w:multiLevelType w:val="multilevel"/>
    <w:tmpl w:val="59C4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A426EA"/>
    <w:multiLevelType w:val="hybridMultilevel"/>
    <w:tmpl w:val="4D88F292"/>
    <w:lvl w:ilvl="0" w:tplc="75F2340E">
      <w:start w:val="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E6008EC"/>
    <w:multiLevelType w:val="hybridMultilevel"/>
    <w:tmpl w:val="7AD81702"/>
    <w:lvl w:ilvl="0" w:tplc="6474336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FD60434"/>
    <w:multiLevelType w:val="multilevel"/>
    <w:tmpl w:val="DD7C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504880">
    <w:abstractNumId w:val="14"/>
  </w:num>
  <w:num w:numId="2" w16cid:durableId="1412118657">
    <w:abstractNumId w:val="25"/>
  </w:num>
  <w:num w:numId="3" w16cid:durableId="1720545160">
    <w:abstractNumId w:val="18"/>
  </w:num>
  <w:num w:numId="4" w16cid:durableId="699282122">
    <w:abstractNumId w:val="2"/>
  </w:num>
  <w:num w:numId="5" w16cid:durableId="1787500973">
    <w:abstractNumId w:val="6"/>
  </w:num>
  <w:num w:numId="6" w16cid:durableId="926813581">
    <w:abstractNumId w:val="13"/>
  </w:num>
  <w:num w:numId="7" w16cid:durableId="1313288861">
    <w:abstractNumId w:val="3"/>
  </w:num>
  <w:num w:numId="8" w16cid:durableId="1188637183">
    <w:abstractNumId w:val="23"/>
  </w:num>
  <w:num w:numId="9" w16cid:durableId="1863475140">
    <w:abstractNumId w:val="19"/>
  </w:num>
  <w:num w:numId="10" w16cid:durableId="913709528">
    <w:abstractNumId w:val="15"/>
  </w:num>
  <w:num w:numId="11" w16cid:durableId="682436660">
    <w:abstractNumId w:val="10"/>
  </w:num>
  <w:num w:numId="12" w16cid:durableId="1785477">
    <w:abstractNumId w:val="9"/>
  </w:num>
  <w:num w:numId="13" w16cid:durableId="1313293855">
    <w:abstractNumId w:val="11"/>
  </w:num>
  <w:num w:numId="14" w16cid:durableId="670987662">
    <w:abstractNumId w:val="21"/>
  </w:num>
  <w:num w:numId="15" w16cid:durableId="1645505663">
    <w:abstractNumId w:val="7"/>
  </w:num>
  <w:num w:numId="16" w16cid:durableId="679162071">
    <w:abstractNumId w:val="4"/>
  </w:num>
  <w:num w:numId="17" w16cid:durableId="675689009">
    <w:abstractNumId w:val="27"/>
  </w:num>
  <w:num w:numId="18" w16cid:durableId="54933774">
    <w:abstractNumId w:val="24"/>
  </w:num>
  <w:num w:numId="19" w16cid:durableId="894466184">
    <w:abstractNumId w:val="30"/>
  </w:num>
  <w:num w:numId="20" w16cid:durableId="891624432">
    <w:abstractNumId w:val="16"/>
  </w:num>
  <w:num w:numId="21" w16cid:durableId="145245141">
    <w:abstractNumId w:val="20"/>
  </w:num>
  <w:num w:numId="22" w16cid:durableId="2035957468">
    <w:abstractNumId w:val="0"/>
  </w:num>
  <w:num w:numId="23" w16cid:durableId="886990141">
    <w:abstractNumId w:val="5"/>
  </w:num>
  <w:num w:numId="24" w16cid:durableId="1324120316">
    <w:abstractNumId w:val="12"/>
  </w:num>
  <w:num w:numId="25" w16cid:durableId="821779099">
    <w:abstractNumId w:val="22"/>
  </w:num>
  <w:num w:numId="26" w16cid:durableId="1767846466">
    <w:abstractNumId w:val="8"/>
  </w:num>
  <w:num w:numId="27" w16cid:durableId="540938941">
    <w:abstractNumId w:val="1"/>
  </w:num>
  <w:num w:numId="28" w16cid:durableId="1616256042">
    <w:abstractNumId w:val="28"/>
  </w:num>
  <w:num w:numId="29" w16cid:durableId="1542325969">
    <w:abstractNumId w:val="26"/>
  </w:num>
  <w:num w:numId="30" w16cid:durableId="1296179631">
    <w:abstractNumId w:val="17"/>
  </w:num>
  <w:num w:numId="31" w16cid:durableId="64994790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37"/>
    <w:rsid w:val="00017E6F"/>
    <w:rsid w:val="00026475"/>
    <w:rsid w:val="00036F34"/>
    <w:rsid w:val="00045432"/>
    <w:rsid w:val="0006791D"/>
    <w:rsid w:val="00071773"/>
    <w:rsid w:val="00073C26"/>
    <w:rsid w:val="0008111E"/>
    <w:rsid w:val="0009107F"/>
    <w:rsid w:val="00092DCE"/>
    <w:rsid w:val="000A2755"/>
    <w:rsid w:val="000C24AE"/>
    <w:rsid w:val="000C76FC"/>
    <w:rsid w:val="000E4B94"/>
    <w:rsid w:val="00103BA7"/>
    <w:rsid w:val="00110AE7"/>
    <w:rsid w:val="0011469A"/>
    <w:rsid w:val="00125B44"/>
    <w:rsid w:val="00141827"/>
    <w:rsid w:val="00160BEC"/>
    <w:rsid w:val="001967A1"/>
    <w:rsid w:val="001C03E0"/>
    <w:rsid w:val="001C6E21"/>
    <w:rsid w:val="001E1B36"/>
    <w:rsid w:val="00221D02"/>
    <w:rsid w:val="00233F67"/>
    <w:rsid w:val="00237FEE"/>
    <w:rsid w:val="00240390"/>
    <w:rsid w:val="00240986"/>
    <w:rsid w:val="0025188B"/>
    <w:rsid w:val="00257864"/>
    <w:rsid w:val="00280970"/>
    <w:rsid w:val="002A6A27"/>
    <w:rsid w:val="002B2E8D"/>
    <w:rsid w:val="002E377F"/>
    <w:rsid w:val="002F3865"/>
    <w:rsid w:val="002F440B"/>
    <w:rsid w:val="00304757"/>
    <w:rsid w:val="00304B3D"/>
    <w:rsid w:val="00325B3E"/>
    <w:rsid w:val="00326843"/>
    <w:rsid w:val="003340A9"/>
    <w:rsid w:val="00336329"/>
    <w:rsid w:val="003556FF"/>
    <w:rsid w:val="003633D9"/>
    <w:rsid w:val="00373483"/>
    <w:rsid w:val="0037612A"/>
    <w:rsid w:val="003801AB"/>
    <w:rsid w:val="003934DF"/>
    <w:rsid w:val="003A700D"/>
    <w:rsid w:val="003B0998"/>
    <w:rsid w:val="003B2AEA"/>
    <w:rsid w:val="003C2756"/>
    <w:rsid w:val="003C2E61"/>
    <w:rsid w:val="003E029F"/>
    <w:rsid w:val="003F0129"/>
    <w:rsid w:val="00400FAC"/>
    <w:rsid w:val="00411206"/>
    <w:rsid w:val="004266D8"/>
    <w:rsid w:val="00426A1C"/>
    <w:rsid w:val="00427378"/>
    <w:rsid w:val="00446FDA"/>
    <w:rsid w:val="00452A87"/>
    <w:rsid w:val="00463528"/>
    <w:rsid w:val="004717E0"/>
    <w:rsid w:val="00491DCD"/>
    <w:rsid w:val="00492F18"/>
    <w:rsid w:val="004B34FC"/>
    <w:rsid w:val="004D087A"/>
    <w:rsid w:val="004D56BA"/>
    <w:rsid w:val="004E3547"/>
    <w:rsid w:val="004F2BF8"/>
    <w:rsid w:val="00503464"/>
    <w:rsid w:val="00584A79"/>
    <w:rsid w:val="005A09AB"/>
    <w:rsid w:val="005A7BDF"/>
    <w:rsid w:val="005B1BDE"/>
    <w:rsid w:val="005B7CBC"/>
    <w:rsid w:val="005C0105"/>
    <w:rsid w:val="005C1A69"/>
    <w:rsid w:val="005E0DC9"/>
    <w:rsid w:val="005F6601"/>
    <w:rsid w:val="00621228"/>
    <w:rsid w:val="00635500"/>
    <w:rsid w:val="006504F7"/>
    <w:rsid w:val="00653558"/>
    <w:rsid w:val="00670FB7"/>
    <w:rsid w:val="00673B20"/>
    <w:rsid w:val="006944C4"/>
    <w:rsid w:val="006A59A7"/>
    <w:rsid w:val="006B0888"/>
    <w:rsid w:val="006B4C34"/>
    <w:rsid w:val="006C3451"/>
    <w:rsid w:val="006C5BC4"/>
    <w:rsid w:val="006D58C7"/>
    <w:rsid w:val="006D6F3C"/>
    <w:rsid w:val="006F0911"/>
    <w:rsid w:val="006F6F18"/>
    <w:rsid w:val="00734DCB"/>
    <w:rsid w:val="00736922"/>
    <w:rsid w:val="00770037"/>
    <w:rsid w:val="00775B74"/>
    <w:rsid w:val="00777846"/>
    <w:rsid w:val="007C4971"/>
    <w:rsid w:val="007D2FDC"/>
    <w:rsid w:val="00804D1F"/>
    <w:rsid w:val="008255D8"/>
    <w:rsid w:val="0082798A"/>
    <w:rsid w:val="00832B25"/>
    <w:rsid w:val="00857B66"/>
    <w:rsid w:val="00877C02"/>
    <w:rsid w:val="00886C4E"/>
    <w:rsid w:val="008B36AD"/>
    <w:rsid w:val="008B5F46"/>
    <w:rsid w:val="008D224C"/>
    <w:rsid w:val="009115CF"/>
    <w:rsid w:val="009218B2"/>
    <w:rsid w:val="00930414"/>
    <w:rsid w:val="0093238E"/>
    <w:rsid w:val="00935152"/>
    <w:rsid w:val="00963258"/>
    <w:rsid w:val="00982499"/>
    <w:rsid w:val="009B7F49"/>
    <w:rsid w:val="009E276D"/>
    <w:rsid w:val="00A1010A"/>
    <w:rsid w:val="00A12AB9"/>
    <w:rsid w:val="00A31276"/>
    <w:rsid w:val="00A53957"/>
    <w:rsid w:val="00A55ACE"/>
    <w:rsid w:val="00AA449F"/>
    <w:rsid w:val="00AB3E1A"/>
    <w:rsid w:val="00AC1773"/>
    <w:rsid w:val="00B04E96"/>
    <w:rsid w:val="00B12E46"/>
    <w:rsid w:val="00B17585"/>
    <w:rsid w:val="00B51BB0"/>
    <w:rsid w:val="00B53541"/>
    <w:rsid w:val="00B55107"/>
    <w:rsid w:val="00B559E7"/>
    <w:rsid w:val="00B6038B"/>
    <w:rsid w:val="00B8150B"/>
    <w:rsid w:val="00B943B7"/>
    <w:rsid w:val="00B94D0B"/>
    <w:rsid w:val="00B97DCB"/>
    <w:rsid w:val="00BB3043"/>
    <w:rsid w:val="00BB458E"/>
    <w:rsid w:val="00BC7FF1"/>
    <w:rsid w:val="00BE0F87"/>
    <w:rsid w:val="00BE1D72"/>
    <w:rsid w:val="00BE44ED"/>
    <w:rsid w:val="00BF358E"/>
    <w:rsid w:val="00C0048D"/>
    <w:rsid w:val="00C217EF"/>
    <w:rsid w:val="00C30DA5"/>
    <w:rsid w:val="00C323EF"/>
    <w:rsid w:val="00C4058D"/>
    <w:rsid w:val="00C4161C"/>
    <w:rsid w:val="00C577F3"/>
    <w:rsid w:val="00C70266"/>
    <w:rsid w:val="00C84346"/>
    <w:rsid w:val="00C844E3"/>
    <w:rsid w:val="00CA1EBD"/>
    <w:rsid w:val="00CB0D52"/>
    <w:rsid w:val="00CC49ED"/>
    <w:rsid w:val="00CE3CF4"/>
    <w:rsid w:val="00CF0F3F"/>
    <w:rsid w:val="00D00585"/>
    <w:rsid w:val="00D03A92"/>
    <w:rsid w:val="00D0500A"/>
    <w:rsid w:val="00D14A54"/>
    <w:rsid w:val="00D300B8"/>
    <w:rsid w:val="00D32036"/>
    <w:rsid w:val="00D56400"/>
    <w:rsid w:val="00D64DE1"/>
    <w:rsid w:val="00D7035B"/>
    <w:rsid w:val="00D71FAA"/>
    <w:rsid w:val="00D73FCF"/>
    <w:rsid w:val="00D745AD"/>
    <w:rsid w:val="00D90715"/>
    <w:rsid w:val="00DC2062"/>
    <w:rsid w:val="00DD2C13"/>
    <w:rsid w:val="00DD3C0B"/>
    <w:rsid w:val="00DE40D4"/>
    <w:rsid w:val="00DF073B"/>
    <w:rsid w:val="00E156DD"/>
    <w:rsid w:val="00E17837"/>
    <w:rsid w:val="00E308EA"/>
    <w:rsid w:val="00E353B5"/>
    <w:rsid w:val="00E44CA7"/>
    <w:rsid w:val="00E664B1"/>
    <w:rsid w:val="00E81595"/>
    <w:rsid w:val="00E834A3"/>
    <w:rsid w:val="00E87F2E"/>
    <w:rsid w:val="00E947D4"/>
    <w:rsid w:val="00EB3DB6"/>
    <w:rsid w:val="00ED750E"/>
    <w:rsid w:val="00EF4032"/>
    <w:rsid w:val="00F37AF6"/>
    <w:rsid w:val="00F44B2B"/>
    <w:rsid w:val="00F517B8"/>
    <w:rsid w:val="00F73E1E"/>
    <w:rsid w:val="00F759ED"/>
    <w:rsid w:val="00F835EF"/>
    <w:rsid w:val="00FA74B2"/>
    <w:rsid w:val="00FB1A82"/>
    <w:rsid w:val="00FC2098"/>
    <w:rsid w:val="00FE1E6E"/>
    <w:rsid w:val="00FE365D"/>
    <w:rsid w:val="72578C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CF09"/>
  <w15:chartTrackingRefBased/>
  <w15:docId w15:val="{800EF570-BED7-47D0-BBBA-C340C00E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B3D"/>
    <w:pPr>
      <w:spacing w:after="120"/>
    </w:pPr>
    <w:rPr>
      <w:rFonts w:ascii="Aptos" w:hAnsi="Aptos"/>
      <w:color w:val="000000"/>
      <w:sz w:val="21"/>
    </w:rPr>
  </w:style>
  <w:style w:type="paragraph" w:styleId="Titre1">
    <w:name w:val="heading 1"/>
    <w:basedOn w:val="Normal"/>
    <w:next w:val="Normal"/>
    <w:link w:val="Titre1Car"/>
    <w:uiPriority w:val="9"/>
    <w:qFormat/>
    <w:rsid w:val="004717E0"/>
    <w:pPr>
      <w:keepNext/>
      <w:keepLines/>
      <w:spacing w:before="160" w:after="140"/>
      <w:outlineLvl w:val="0"/>
    </w:pPr>
    <w:rPr>
      <w:rFonts w:asciiTheme="majorHAnsi" w:eastAsiaTheme="majorEastAsia" w:hAnsiTheme="majorHAnsi" w:cstheme="majorBidi"/>
      <w:b/>
      <w:kern w:val="2"/>
      <w:sz w:val="36"/>
      <w:szCs w:val="40"/>
      <w14:ligatures w14:val="standardContextual"/>
    </w:rPr>
  </w:style>
  <w:style w:type="paragraph" w:styleId="Titre2">
    <w:name w:val="heading 2"/>
    <w:basedOn w:val="Normal"/>
    <w:next w:val="Normal"/>
    <w:link w:val="Titre2Car"/>
    <w:uiPriority w:val="9"/>
    <w:unhideWhenUsed/>
    <w:qFormat/>
    <w:rsid w:val="00E664B1"/>
    <w:pPr>
      <w:keepNext/>
      <w:keepLines/>
      <w:spacing w:before="160" w:after="100"/>
      <w:outlineLvl w:val="1"/>
    </w:pPr>
    <w:rPr>
      <w:rFonts w:asciiTheme="majorHAnsi" w:eastAsiaTheme="majorEastAsia" w:hAnsiTheme="majorHAnsi" w:cstheme="majorBidi"/>
      <w:b/>
      <w:kern w:val="2"/>
      <w:sz w:val="28"/>
      <w:szCs w:val="32"/>
      <w14:ligatures w14:val="standardContextual"/>
    </w:rPr>
  </w:style>
  <w:style w:type="paragraph" w:styleId="Titre3">
    <w:name w:val="heading 3"/>
    <w:basedOn w:val="Normal"/>
    <w:next w:val="Normal"/>
    <w:link w:val="Titre3Car"/>
    <w:uiPriority w:val="9"/>
    <w:semiHidden/>
    <w:unhideWhenUsed/>
    <w:qFormat/>
    <w:rsid w:val="00CE3CF4"/>
    <w:pPr>
      <w:keepNext/>
      <w:keepLines/>
      <w:spacing w:before="40" w:after="0"/>
      <w:outlineLvl w:val="2"/>
    </w:pPr>
    <w:rPr>
      <w:rFonts w:asciiTheme="majorHAnsi" w:eastAsiaTheme="majorEastAsia" w:hAnsiTheme="majorHAnsi" w:cstheme="majorBid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E17837"/>
    <w:pPr>
      <w:tabs>
        <w:tab w:val="center" w:pos="4536"/>
        <w:tab w:val="right" w:pos="9072"/>
      </w:tabs>
      <w:spacing w:after="0" w:line="240" w:lineRule="auto"/>
    </w:pPr>
  </w:style>
  <w:style w:type="character" w:customStyle="1" w:styleId="En-tteCar">
    <w:name w:val="En-tête Car"/>
    <w:basedOn w:val="Policepardfaut"/>
    <w:link w:val="En-tte"/>
    <w:uiPriority w:val="99"/>
    <w:rsid w:val="00E17837"/>
  </w:style>
  <w:style w:type="paragraph" w:styleId="Pieddepage">
    <w:name w:val="footer"/>
    <w:basedOn w:val="Normal"/>
    <w:link w:val="PieddepageCar"/>
    <w:uiPriority w:val="99"/>
    <w:unhideWhenUsed/>
    <w:rsid w:val="00E178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7837"/>
  </w:style>
  <w:style w:type="paragraph" w:styleId="Paragraphedeliste">
    <w:name w:val="List Paragraph"/>
    <w:basedOn w:val="Normal"/>
    <w:uiPriority w:val="34"/>
    <w:qFormat/>
    <w:rsid w:val="00304B3D"/>
    <w:pPr>
      <w:ind w:left="720"/>
      <w:contextualSpacing/>
    </w:pPr>
  </w:style>
  <w:style w:type="character" w:styleId="Lienhypertexte">
    <w:name w:val="Hyperlink"/>
    <w:basedOn w:val="Policepardfaut"/>
    <w:uiPriority w:val="99"/>
    <w:unhideWhenUsed/>
    <w:rsid w:val="001E1B36"/>
    <w:rPr>
      <w:color w:val="0000FF"/>
      <w:u w:val="single"/>
    </w:rPr>
  </w:style>
  <w:style w:type="character" w:styleId="Accentuation">
    <w:name w:val="Emphasis"/>
    <w:basedOn w:val="Policepardfaut"/>
    <w:uiPriority w:val="20"/>
    <w:qFormat/>
    <w:rsid w:val="001E1B36"/>
    <w:rPr>
      <w:i/>
      <w:iCs/>
    </w:rPr>
  </w:style>
  <w:style w:type="character" w:customStyle="1" w:styleId="break-words">
    <w:name w:val="break-words"/>
    <w:basedOn w:val="Policepardfaut"/>
    <w:rsid w:val="00141827"/>
  </w:style>
  <w:style w:type="paragraph" w:customStyle="1" w:styleId="Default">
    <w:name w:val="Default"/>
    <w:rsid w:val="006D58C7"/>
    <w:pPr>
      <w:autoSpaceDE w:val="0"/>
      <w:autoSpaceDN w:val="0"/>
      <w:adjustRightInd w:val="0"/>
      <w:spacing w:after="0" w:line="240" w:lineRule="auto"/>
    </w:pPr>
    <w:rPr>
      <w:rFonts w:ascii="Verdana" w:eastAsia="Times New Roman" w:hAnsi="Verdana" w:cs="Verdana"/>
      <w:color w:val="000000"/>
      <w:sz w:val="24"/>
      <w:szCs w:val="24"/>
      <w:lang w:val="en-GB" w:eastAsia="zh-CN"/>
    </w:rPr>
  </w:style>
  <w:style w:type="paragraph" w:styleId="NormalWeb">
    <w:name w:val="Normal (Web)"/>
    <w:basedOn w:val="Normal"/>
    <w:uiPriority w:val="99"/>
    <w:semiHidden/>
    <w:unhideWhenUsed/>
    <w:rsid w:val="000C24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0C24AE"/>
    <w:rPr>
      <w:b/>
      <w:bCs/>
    </w:rPr>
  </w:style>
  <w:style w:type="character" w:customStyle="1" w:styleId="Titre1Car">
    <w:name w:val="Titre 1 Car"/>
    <w:basedOn w:val="Policepardfaut"/>
    <w:link w:val="Titre1"/>
    <w:uiPriority w:val="9"/>
    <w:rsid w:val="004717E0"/>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Titre2Car">
    <w:name w:val="Titre 2 Car"/>
    <w:basedOn w:val="Policepardfaut"/>
    <w:link w:val="Titre2"/>
    <w:uiPriority w:val="9"/>
    <w:rsid w:val="00E664B1"/>
    <w:rPr>
      <w:rFonts w:asciiTheme="majorHAnsi" w:eastAsiaTheme="majorEastAsia" w:hAnsiTheme="majorHAnsi" w:cstheme="majorBidi"/>
      <w:color w:val="2F5496" w:themeColor="accent1" w:themeShade="BF"/>
      <w:kern w:val="2"/>
      <w:sz w:val="32"/>
      <w:szCs w:val="32"/>
      <w14:ligatures w14:val="standardContextual"/>
    </w:rPr>
  </w:style>
  <w:style w:type="paragraph" w:styleId="Titre">
    <w:name w:val="Title"/>
    <w:basedOn w:val="Normal"/>
    <w:next w:val="Normal"/>
    <w:link w:val="TitreCar"/>
    <w:uiPriority w:val="10"/>
    <w:qFormat/>
    <w:rsid w:val="00411206"/>
    <w:pPr>
      <w:spacing w:after="300" w:line="240" w:lineRule="auto"/>
      <w:contextualSpacing/>
    </w:pPr>
    <w:rPr>
      <w:rFonts w:asciiTheme="majorHAnsi" w:eastAsiaTheme="majorEastAsia" w:hAnsiTheme="majorHAnsi" w:cstheme="majorBidi"/>
      <w:b/>
      <w:spacing w:val="5"/>
      <w:kern w:val="28"/>
      <w:sz w:val="50"/>
      <w:szCs w:val="52"/>
      <w:lang w:val="en-US"/>
    </w:rPr>
  </w:style>
  <w:style w:type="character" w:customStyle="1" w:styleId="TitreCar">
    <w:name w:val="Titre Car"/>
    <w:basedOn w:val="Policepardfaut"/>
    <w:link w:val="Titre"/>
    <w:uiPriority w:val="10"/>
    <w:rsid w:val="00411206"/>
    <w:rPr>
      <w:rFonts w:asciiTheme="majorHAnsi" w:eastAsiaTheme="majorEastAsia" w:hAnsiTheme="majorHAnsi" w:cstheme="majorBidi"/>
      <w:b/>
      <w:color w:val="660044"/>
      <w:spacing w:val="5"/>
      <w:kern w:val="28"/>
      <w:sz w:val="48"/>
      <w:szCs w:val="52"/>
      <w:lang w:val="en-US"/>
    </w:rPr>
  </w:style>
  <w:style w:type="paragraph" w:styleId="Listepuces">
    <w:name w:val="List Bullet"/>
    <w:basedOn w:val="Normal"/>
    <w:uiPriority w:val="99"/>
    <w:unhideWhenUsed/>
    <w:rsid w:val="00411206"/>
    <w:pPr>
      <w:numPr>
        <w:numId w:val="22"/>
      </w:numPr>
      <w:tabs>
        <w:tab w:val="clear" w:pos="360"/>
      </w:tabs>
      <w:ind w:left="0" w:firstLine="0"/>
      <w:contextualSpacing/>
    </w:pPr>
    <w:rPr>
      <w:rFonts w:eastAsiaTheme="minorEastAsia"/>
      <w:lang w:val="en-US"/>
    </w:rPr>
  </w:style>
  <w:style w:type="table" w:styleId="Grilledutableau">
    <w:name w:val="Table Grid"/>
    <w:basedOn w:val="TableauNormal"/>
    <w:uiPriority w:val="59"/>
    <w:rsid w:val="0041120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semiHidden/>
    <w:rsid w:val="00CE3CF4"/>
    <w:rPr>
      <w:rFonts w:asciiTheme="majorHAnsi" w:eastAsiaTheme="majorEastAsia" w:hAnsiTheme="majorHAnsi" w:cstheme="majorBidi"/>
      <w:color w:val="1F3763" w:themeColor="accent1" w:themeShade="7F"/>
      <w:sz w:val="24"/>
      <w:szCs w:val="24"/>
    </w:rPr>
  </w:style>
  <w:style w:type="paragraph" w:styleId="Corpsdetexte">
    <w:name w:val="Body Text"/>
    <w:basedOn w:val="Normal"/>
    <w:link w:val="CorpsdetexteCar"/>
    <w:qFormat/>
    <w:rsid w:val="003556FF"/>
    <w:pPr>
      <w:spacing w:before="180" w:after="180" w:line="240" w:lineRule="auto"/>
    </w:pPr>
    <w:rPr>
      <w:sz w:val="24"/>
      <w:szCs w:val="24"/>
      <w:lang w:val="en-US"/>
    </w:rPr>
  </w:style>
  <w:style w:type="character" w:customStyle="1" w:styleId="CorpsdetexteCar">
    <w:name w:val="Corps de texte Car"/>
    <w:basedOn w:val="Policepardfaut"/>
    <w:link w:val="Corpsdetexte"/>
    <w:rsid w:val="003556FF"/>
    <w:rPr>
      <w:sz w:val="24"/>
      <w:szCs w:val="24"/>
      <w:lang w:val="en-US"/>
    </w:rPr>
  </w:style>
  <w:style w:type="paragraph" w:customStyle="1" w:styleId="FirstParagraph">
    <w:name w:val="First Paragraph"/>
    <w:basedOn w:val="Corpsdetexte"/>
    <w:next w:val="Corpsdetexte"/>
    <w:qFormat/>
    <w:rsid w:val="003556FF"/>
  </w:style>
  <w:style w:type="paragraph" w:customStyle="1" w:styleId="Compact">
    <w:name w:val="Compact"/>
    <w:basedOn w:val="Corpsdetexte"/>
    <w:qFormat/>
    <w:rsid w:val="003556FF"/>
    <w:pPr>
      <w:spacing w:before="36" w:after="36"/>
    </w:pPr>
  </w:style>
  <w:style w:type="paragraph" w:styleId="Lgende">
    <w:name w:val="caption"/>
    <w:basedOn w:val="Normal"/>
    <w:next w:val="Normal"/>
    <w:uiPriority w:val="35"/>
    <w:unhideWhenUsed/>
    <w:qFormat/>
    <w:rsid w:val="00160BEC"/>
    <w:pPr>
      <w:spacing w:line="240" w:lineRule="auto"/>
    </w:pPr>
    <w:rPr>
      <w:i/>
      <w:iCs/>
      <w:color w:val="44546A" w:themeColor="text2"/>
      <w:kern w:val="2"/>
      <w:sz w:val="18"/>
      <w:szCs w:val="18"/>
      <w14:ligatures w14:val="standardContextual"/>
    </w:rPr>
  </w:style>
  <w:style w:type="paragraph" w:customStyle="1" w:styleId="Small">
    <w:name w:val="Small"/>
    <w:rsid w:val="00775B74"/>
    <w:pPr>
      <w:spacing w:after="40" w:line="276" w:lineRule="auto"/>
    </w:pPr>
    <w:rPr>
      <w:rFonts w:ascii="Arial" w:eastAsiaTheme="minorEastAsia" w:hAnsi="Arial"/>
      <w:color w:val="5F6670"/>
      <w:sz w:val="16"/>
      <w:lang w:val="en-US"/>
    </w:rPr>
  </w:style>
  <w:style w:type="paragraph" w:customStyle="1" w:styleId="EpisodeTitle">
    <w:name w:val="Episode Title"/>
    <w:pPr>
      <w:keepNext/>
      <w:spacing w:before="160" w:after="40"/>
    </w:pPr>
    <w:rPr>
      <w:rFonts w:ascii="Aptos" w:hAnsi="Aptos"/>
      <w:b/>
      <w:color w:val="660044"/>
      <w:sz w:val="23"/>
    </w:rPr>
  </w:style>
  <w:style w:type="paragraph" w:customStyle="1" w:styleId="EpisodeMeta">
    <w:name w:val="Episode Meta"/>
    <w:pPr>
      <w:keepNext/>
      <w:spacing w:after="40"/>
    </w:pPr>
    <w:rPr>
      <w:rFonts w:ascii="Aptos" w:hAnsi="Aptos"/>
      <w:i/>
      <w:color w:val="315D7A"/>
      <w:sz w:val="18"/>
    </w:rPr>
  </w:style>
  <w:style w:type="paragraph" w:customStyle="1" w:styleId="EpisodeLink">
    <w:name w:val="Episode Link"/>
    <w:pPr>
      <w:spacing w:after="80"/>
    </w:pPr>
    <w:rPr>
      <w:rFonts w:ascii="Aptos" w:hAnsi="Aptos"/>
      <w:sz w:val="18"/>
    </w:rPr>
  </w:style>
  <w:style w:type="paragraph" w:customStyle="1" w:styleId="Kicker">
    <w:name w:val="Kicker"/>
    <w:pPr>
      <w:spacing w:after="120"/>
    </w:pPr>
    <w:rPr>
      <w:rFonts w:ascii="Aptos" w:hAnsi="Aptos"/>
      <w:b/>
      <w:color w:val="660044"/>
      <w:sz w:val="24"/>
    </w:rPr>
  </w:style>
  <w:style w:type="paragraph" w:customStyle="1" w:styleId="Sous-titre1">
    <w:name w:val="Sous-titre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59735">
      <w:bodyDiv w:val="1"/>
      <w:marLeft w:val="0"/>
      <w:marRight w:val="0"/>
      <w:marTop w:val="0"/>
      <w:marBottom w:val="0"/>
      <w:divBdr>
        <w:top w:val="none" w:sz="0" w:space="0" w:color="auto"/>
        <w:left w:val="none" w:sz="0" w:space="0" w:color="auto"/>
        <w:bottom w:val="none" w:sz="0" w:space="0" w:color="auto"/>
        <w:right w:val="none" w:sz="0" w:space="0" w:color="auto"/>
      </w:divBdr>
    </w:div>
    <w:div w:id="128473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dcast.ausha.co/top-manager/extrait-marc-chollet-du-stratege-aux-strategies-qui-s-appliquent-vraimen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odcast.ausha.co/top-manager/extrait-laurent-berger-la-strategi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08e9df5-7474-4666-ad63-bc6256b10621">
      <Terms xmlns="http://schemas.microsoft.com/office/infopath/2007/PartnerControls"/>
    </lcf76f155ced4ddcb4097134ff3c332f>
    <TaxCatchAll xmlns="481d5341-2dd5-4bb0-bc5f-fc07228cb1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71D77FBD732742B770584D19635A1B" ma:contentTypeVersion="16" ma:contentTypeDescription="Crée un document." ma:contentTypeScope="" ma:versionID="1c008f4adda4cfd86d91f767d2bac0de">
  <xsd:schema xmlns:xsd="http://www.w3.org/2001/XMLSchema" xmlns:xs="http://www.w3.org/2001/XMLSchema" xmlns:p="http://schemas.microsoft.com/office/2006/metadata/properties" xmlns:ns2="e08e9df5-7474-4666-ad63-bc6256b10621" xmlns:ns3="481d5341-2dd5-4bb0-bc5f-fc07228cb12a" targetNamespace="http://schemas.microsoft.com/office/2006/metadata/properties" ma:root="true" ma:fieldsID="1eacc0ced5f82b01f26fb12cf752f725" ns2:_="" ns3:_="">
    <xsd:import namespace="e08e9df5-7474-4666-ad63-bc6256b10621"/>
    <xsd:import namespace="481d5341-2dd5-4bb0-bc5f-fc07228cb1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e9df5-7474-4666-ad63-bc6256b10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59f7d3fc-8b06-48fd-aa79-2eb5f37294d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1d5341-2dd5-4bb0-bc5f-fc07228cb12a"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977237bf-47b7-46e0-ab0f-541d836fef5d}" ma:internalName="TaxCatchAll" ma:showField="CatchAllData" ma:web="481d5341-2dd5-4bb0-bc5f-fc07228cb1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9339B-F7C8-48CB-9C6E-C67A01FEDDDC}">
  <ds:schemaRefs>
    <ds:schemaRef ds:uri="http://schemas.microsoft.com/sharepoint/v3/contenttype/forms"/>
  </ds:schemaRefs>
</ds:datastoreItem>
</file>

<file path=customXml/itemProps2.xml><?xml version="1.0" encoding="utf-8"?>
<ds:datastoreItem xmlns:ds="http://schemas.openxmlformats.org/officeDocument/2006/customXml" ds:itemID="{20D2FCA7-CF1E-4720-B87D-124B94279565}">
  <ds:schemaRefs>
    <ds:schemaRef ds:uri="http://schemas.microsoft.com/office/2006/metadata/properties"/>
    <ds:schemaRef ds:uri="http://schemas.microsoft.com/office/infopath/2007/PartnerControls"/>
    <ds:schemaRef ds:uri="e08e9df5-7474-4666-ad63-bc6256b10621"/>
    <ds:schemaRef ds:uri="481d5341-2dd5-4bb0-bc5f-fc07228cb12a"/>
  </ds:schemaRefs>
</ds:datastoreItem>
</file>

<file path=customXml/itemProps3.xml><?xml version="1.0" encoding="utf-8"?>
<ds:datastoreItem xmlns:ds="http://schemas.openxmlformats.org/officeDocument/2006/customXml" ds:itemID="{872BC0AA-0A12-4FE2-B165-C4A33F816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e9df5-7474-4666-ad63-bc6256b10621"/>
    <ds:schemaRef ds:uri="481d5341-2dd5-4bb0-bc5f-fc07228cb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1296</Words>
  <Characters>7133</Characters>
  <Application>Microsoft Office Word</Application>
  <DocSecurity>0</DocSecurity>
  <Lines>59</Lines>
  <Paragraphs>16</Paragraphs>
  <ScaleCrop>false</ScaleCrop>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Tootak Academy — Diriger au sommet</dc:title>
  <dc:subject>Fiche programme — deux parcours pour dirigeants et futurs dirigeants</dc:subject>
  <dc:creator>Tootak</dc:creator>
  <cp:keywords>Tootak Academy, Diriger au sommet, Comex, dirigeants, stratégie, performance durable</cp:keywords>
  <dc:description/>
  <cp:lastModifiedBy>Pierre DENIS</cp:lastModifiedBy>
  <cp:revision>2</cp:revision>
  <cp:lastPrinted>2026-05-29T08:04:00Z</cp:lastPrinted>
  <dcterms:created xsi:type="dcterms:W3CDTF">2026-09-18T13:07:00Z</dcterms:created>
  <dcterms:modified xsi:type="dcterms:W3CDTF">2026-09-18T13:07:00Z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0x010100EF71D77FBD732742B770584D19635A1B</vt:lpwstr>
  </property>
  <property fmtid="{D5CDD505-2E9C-101B-9397-08002B2CF9AE}" pid="3" name="MediaServiceImageTags">
    <vt:lpwstr/>
  </property>
</Properties>
</file>