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C32B2" w14:textId="77777777" w:rsidR="00031435" w:rsidRDefault="008C0851">
      <w:pPr>
        <w:pStyle w:val="Sous-titre1"/>
        <w:spacing w:after="100" w:line="252" w:lineRule="auto"/>
      </w:pPr>
      <w:r>
        <w:t>TOOTAK ACADEMY</w:t>
      </w:r>
    </w:p>
    <w:p w14:paraId="1D61B573" w14:textId="77777777" w:rsidR="00031435" w:rsidRDefault="008C0851">
      <w:pPr>
        <w:pStyle w:val="Titre"/>
        <w:spacing w:after="100" w:line="252" w:lineRule="auto"/>
      </w:pPr>
      <w:r>
        <w:t>Prendre soin de soi pour une performance durable</w:t>
      </w:r>
    </w:p>
    <w:p w14:paraId="487ACE00" w14:textId="77777777" w:rsidR="00031435" w:rsidRDefault="008C0851">
      <w:pPr>
        <w:pStyle w:val="Sous-titre1"/>
        <w:spacing w:after="100" w:line="252" w:lineRule="auto"/>
      </w:pPr>
      <w:r>
        <w:t>Fiche programme</w:t>
      </w:r>
    </w:p>
    <w:p w14:paraId="2A3DABF2" w14:textId="77777777" w:rsidR="00031435" w:rsidRDefault="008C0851">
      <w:pPr>
        <w:spacing w:after="100" w:line="252" w:lineRule="auto"/>
      </w:pPr>
      <w:r>
        <w:t>Ce parcours fait partie de la collection « Diriger au sommet ». Il peut être suivi seul ou en complément du parcours « Construire, déployer et faire accepter une nouvelle stratégie ».</w:t>
      </w:r>
    </w:p>
    <w:p w14:paraId="1AFA2381" w14:textId="77777777" w:rsidR="003E029F" w:rsidRDefault="000C76FC">
      <w:pPr>
        <w:spacing w:after="100" w:line="252" w:lineRule="auto"/>
      </w:pPr>
      <w:r>
        <w:rPr>
          <w:b/>
          <w:color w:val="660044"/>
          <w:sz w:val="24"/>
        </w:rPr>
        <w:t>La performance durable du dirigeant n’est pas un sujet de bien-être. C’est un sujet de lucidité, de décision et de responsabilité.</w:t>
      </w:r>
    </w:p>
    <w:p w14:paraId="0930D55F" w14:textId="77777777" w:rsidR="003E029F" w:rsidRDefault="000C76FC">
      <w:pPr>
        <w:spacing w:after="100" w:line="252" w:lineRule="auto"/>
      </w:pPr>
      <w:r>
        <w:t>Les dirigeants portent une charge singulière : décider sous pression, absorber les tensions, tenir dans la durée, protéger leurs équipes et rester inspirants. Ce parcours traite les conditions réelles de cette performance : énergie, récupération, solitude, charge émotionnelle, capacité à rebondir, intelligence collective et temps long.</w:t>
      </w:r>
    </w:p>
    <w:tbl>
      <w:tblPr>
        <w:tblW w:w="0" w:type="auto"/>
        <w:jc w:val="center"/>
        <w:tblLayout w:type="fixed"/>
        <w:tblLook w:val="04A0" w:firstRow="1" w:lastRow="0" w:firstColumn="1" w:lastColumn="0" w:noHBand="0" w:noVBand="1"/>
      </w:tblPr>
      <w:tblGrid>
        <w:gridCol w:w="2381"/>
        <w:gridCol w:w="7143"/>
      </w:tblGrid>
      <w:tr w:rsidR="003E029F" w14:paraId="2BF60BEA" w14:textId="77777777">
        <w:trPr>
          <w:cantSplit/>
          <w:jc w:val="center"/>
        </w:trPr>
        <w:tc>
          <w:tcPr>
            <w:tcW w:w="2381" w:type="dxa"/>
            <w:tcBorders>
              <w:bottom w:val="single" w:sz="4" w:space="0" w:color="E5E9ED"/>
            </w:tcBorders>
            <w:shd w:val="clear" w:color="auto" w:fill="F3F5F7"/>
            <w:tcMar>
              <w:top w:w="85" w:type="dxa"/>
              <w:left w:w="110" w:type="dxa"/>
              <w:bottom w:w="85" w:type="dxa"/>
              <w:right w:w="110" w:type="dxa"/>
            </w:tcMar>
            <w:vAlign w:val="center"/>
          </w:tcPr>
          <w:p w14:paraId="31765842" w14:textId="77777777" w:rsidR="003E029F" w:rsidRDefault="000C76FC">
            <w:pPr>
              <w:spacing w:after="0"/>
            </w:pPr>
            <w:r>
              <w:rPr>
                <w:b/>
                <w:color w:val="315D7A"/>
                <w:sz w:val="20"/>
              </w:rPr>
              <w:t>Promesse</w:t>
            </w:r>
          </w:p>
        </w:tc>
        <w:tc>
          <w:tcPr>
            <w:tcW w:w="7143" w:type="dxa"/>
            <w:tcBorders>
              <w:bottom w:val="single" w:sz="4" w:space="0" w:color="E5E9ED"/>
            </w:tcBorders>
            <w:tcMar>
              <w:top w:w="85" w:type="dxa"/>
              <w:left w:w="110" w:type="dxa"/>
              <w:bottom w:w="85" w:type="dxa"/>
              <w:right w:w="110" w:type="dxa"/>
            </w:tcMar>
            <w:vAlign w:val="center"/>
          </w:tcPr>
          <w:p w14:paraId="24249F0A" w14:textId="77777777" w:rsidR="003E029F" w:rsidRDefault="000C76FC">
            <w:pPr>
              <w:spacing w:after="0"/>
            </w:pPr>
            <w:r>
              <w:rPr>
                <w:sz w:val="20"/>
              </w:rPr>
              <w:t>Aider les dirigeants à continuer de décider, transformer et mobiliser sans s’épuiser ni épuiser l’organisation.</w:t>
            </w:r>
          </w:p>
        </w:tc>
      </w:tr>
      <w:tr w:rsidR="003E029F" w14:paraId="43141527" w14:textId="77777777">
        <w:trPr>
          <w:cantSplit/>
          <w:jc w:val="center"/>
        </w:trPr>
        <w:tc>
          <w:tcPr>
            <w:tcW w:w="2381" w:type="dxa"/>
            <w:tcBorders>
              <w:bottom w:val="single" w:sz="4" w:space="0" w:color="E5E9ED"/>
            </w:tcBorders>
            <w:shd w:val="clear" w:color="auto" w:fill="F3F5F7"/>
            <w:tcMar>
              <w:top w:w="85" w:type="dxa"/>
              <w:left w:w="110" w:type="dxa"/>
              <w:bottom w:w="85" w:type="dxa"/>
              <w:right w:w="110" w:type="dxa"/>
            </w:tcMar>
            <w:vAlign w:val="center"/>
          </w:tcPr>
          <w:p w14:paraId="1933DC36" w14:textId="77777777" w:rsidR="003E029F" w:rsidRDefault="000C76FC">
            <w:pPr>
              <w:spacing w:after="0"/>
            </w:pPr>
            <w:r>
              <w:rPr>
                <w:b/>
                <w:color w:val="315D7A"/>
                <w:sz w:val="20"/>
              </w:rPr>
              <w:t>Public</w:t>
            </w:r>
          </w:p>
        </w:tc>
        <w:tc>
          <w:tcPr>
            <w:tcW w:w="7143" w:type="dxa"/>
            <w:tcBorders>
              <w:bottom w:val="single" w:sz="4" w:space="0" w:color="E5E9ED"/>
            </w:tcBorders>
            <w:tcMar>
              <w:top w:w="85" w:type="dxa"/>
              <w:left w:w="110" w:type="dxa"/>
              <w:bottom w:w="85" w:type="dxa"/>
              <w:right w:w="110" w:type="dxa"/>
            </w:tcMar>
            <w:vAlign w:val="center"/>
          </w:tcPr>
          <w:p w14:paraId="7593D30A" w14:textId="77777777" w:rsidR="003E029F" w:rsidRDefault="000C76FC">
            <w:pPr>
              <w:spacing w:after="0"/>
            </w:pPr>
            <w:r>
              <w:rPr>
                <w:sz w:val="20"/>
              </w:rPr>
              <w:t>Dirigeants en poste, membres de Comex / Comex-1, futurs dirigeants et talents exécutifs.</w:t>
            </w:r>
          </w:p>
        </w:tc>
      </w:tr>
      <w:tr w:rsidR="003E029F" w14:paraId="5237A7F7" w14:textId="77777777">
        <w:trPr>
          <w:cantSplit/>
          <w:jc w:val="center"/>
        </w:trPr>
        <w:tc>
          <w:tcPr>
            <w:tcW w:w="2381" w:type="dxa"/>
            <w:tcBorders>
              <w:bottom w:val="single" w:sz="4" w:space="0" w:color="E5E9ED"/>
            </w:tcBorders>
            <w:shd w:val="clear" w:color="auto" w:fill="F3F5F7"/>
            <w:tcMar>
              <w:top w:w="85" w:type="dxa"/>
              <w:left w:w="110" w:type="dxa"/>
              <w:bottom w:w="85" w:type="dxa"/>
              <w:right w:w="110" w:type="dxa"/>
            </w:tcMar>
            <w:vAlign w:val="center"/>
          </w:tcPr>
          <w:p w14:paraId="747C5002" w14:textId="77777777" w:rsidR="003E029F" w:rsidRDefault="000C76FC">
            <w:pPr>
              <w:spacing w:after="0"/>
            </w:pPr>
            <w:r>
              <w:rPr>
                <w:b/>
                <w:color w:val="315D7A"/>
                <w:sz w:val="20"/>
              </w:rPr>
              <w:t>Approche</w:t>
            </w:r>
          </w:p>
        </w:tc>
        <w:tc>
          <w:tcPr>
            <w:tcW w:w="7143" w:type="dxa"/>
            <w:tcBorders>
              <w:bottom w:val="single" w:sz="4" w:space="0" w:color="E5E9ED"/>
            </w:tcBorders>
            <w:tcMar>
              <w:top w:w="85" w:type="dxa"/>
              <w:left w:w="110" w:type="dxa"/>
              <w:bottom w:w="85" w:type="dxa"/>
              <w:right w:w="110" w:type="dxa"/>
            </w:tcMar>
            <w:vAlign w:val="center"/>
          </w:tcPr>
          <w:p w14:paraId="60164A92" w14:textId="77777777" w:rsidR="003E029F" w:rsidRDefault="000C76FC">
            <w:pPr>
              <w:spacing w:after="0"/>
            </w:pPr>
            <w:r>
              <w:rPr>
                <w:sz w:val="20"/>
              </w:rPr>
              <w:t>Témoignages de dirigeants, grands témoins et experts — médecins, coachs, psychologues, psychiatres — complétés par des fictions pédagogiques.</w:t>
            </w:r>
          </w:p>
        </w:tc>
      </w:tr>
      <w:tr w:rsidR="003E029F" w14:paraId="25647202" w14:textId="77777777">
        <w:trPr>
          <w:cantSplit/>
          <w:jc w:val="center"/>
        </w:trPr>
        <w:tc>
          <w:tcPr>
            <w:tcW w:w="2381" w:type="dxa"/>
            <w:tcBorders>
              <w:bottom w:val="single" w:sz="4" w:space="0" w:color="E5E9ED"/>
            </w:tcBorders>
            <w:shd w:val="clear" w:color="auto" w:fill="F3F5F7"/>
            <w:tcMar>
              <w:top w:w="85" w:type="dxa"/>
              <w:left w:w="110" w:type="dxa"/>
              <w:bottom w:w="85" w:type="dxa"/>
              <w:right w:w="110" w:type="dxa"/>
            </w:tcMar>
            <w:vAlign w:val="center"/>
          </w:tcPr>
          <w:p w14:paraId="3C33A245" w14:textId="77777777" w:rsidR="003E029F" w:rsidRDefault="000C76FC">
            <w:pPr>
              <w:spacing w:after="0"/>
            </w:pPr>
            <w:r>
              <w:rPr>
                <w:b/>
                <w:color w:val="315D7A"/>
                <w:sz w:val="20"/>
              </w:rPr>
              <w:t>Usage recommandé</w:t>
            </w:r>
          </w:p>
        </w:tc>
        <w:tc>
          <w:tcPr>
            <w:tcW w:w="7143" w:type="dxa"/>
            <w:tcBorders>
              <w:bottom w:val="single" w:sz="4" w:space="0" w:color="E5E9ED"/>
            </w:tcBorders>
            <w:tcMar>
              <w:top w:w="85" w:type="dxa"/>
              <w:left w:w="110" w:type="dxa"/>
              <w:bottom w:w="85" w:type="dxa"/>
              <w:right w:w="110" w:type="dxa"/>
            </w:tcMar>
            <w:vAlign w:val="center"/>
          </w:tcPr>
          <w:p w14:paraId="23E50E5B" w14:textId="77777777" w:rsidR="003E029F" w:rsidRDefault="000C76FC">
            <w:pPr>
              <w:spacing w:after="0"/>
            </w:pPr>
            <w:r>
              <w:rPr>
                <w:sz w:val="20"/>
              </w:rPr>
              <w:t xml:space="preserve">Parcours leadership, préparation à la prise de fonction, communauté de dirigeants, séminaire ou dispositif de prévention du </w:t>
            </w:r>
            <w:proofErr w:type="spellStart"/>
            <w:r>
              <w:rPr>
                <w:sz w:val="20"/>
              </w:rPr>
              <w:t>surengagement</w:t>
            </w:r>
            <w:proofErr w:type="spellEnd"/>
            <w:r>
              <w:rPr>
                <w:sz w:val="20"/>
              </w:rPr>
              <w:t xml:space="preserve"> au niveau exécutif.</w:t>
            </w:r>
          </w:p>
        </w:tc>
      </w:tr>
    </w:tbl>
    <w:p w14:paraId="19766C01" w14:textId="77777777" w:rsidR="003E029F" w:rsidRDefault="000C76FC">
      <w:pPr>
        <w:pStyle w:val="Titre2"/>
        <w:spacing w:before="0" w:line="252" w:lineRule="auto"/>
      </w:pPr>
      <w:r>
        <w:t>Objectifs pédagogiques</w:t>
      </w:r>
    </w:p>
    <w:p w14:paraId="6F1A1B75" w14:textId="77777777" w:rsidR="003E029F" w:rsidRPr="00A31276" w:rsidRDefault="000C76FC">
      <w:pPr>
        <w:pStyle w:val="Listepuces"/>
        <w:spacing w:after="100" w:line="252" w:lineRule="auto"/>
        <w:rPr>
          <w:lang w:val="fr-FR"/>
        </w:rPr>
      </w:pPr>
      <w:r w:rsidRPr="00A31276">
        <w:rPr>
          <w:lang w:val="fr-FR"/>
        </w:rPr>
        <w:t>Développer une posture de leadership durable, fondée sur l’intelligence émotionnelle, l’accompagnement, la capacité à se challenger, à rebondir et à diriger dans le temps long.</w:t>
      </w:r>
    </w:p>
    <w:p w14:paraId="579C4114" w14:textId="77777777" w:rsidR="003E029F" w:rsidRPr="00A31276" w:rsidRDefault="000C76FC">
      <w:pPr>
        <w:pStyle w:val="Listepuces"/>
        <w:spacing w:after="100" w:line="252" w:lineRule="auto"/>
        <w:rPr>
          <w:lang w:val="fr-FR"/>
        </w:rPr>
      </w:pPr>
      <w:r w:rsidRPr="00A31276">
        <w:rPr>
          <w:lang w:val="fr-FR"/>
        </w:rPr>
        <w:t>Identifier les dimensions invisibles de la fonction dirigeante : solitude, pression décisionnelle, charge émotionnelle, exposition permanente, gestion du temps et responsabilité finale.</w:t>
      </w:r>
    </w:p>
    <w:p w14:paraId="2079738F" w14:textId="77777777" w:rsidR="003E029F" w:rsidRPr="00A31276" w:rsidRDefault="000C76FC">
      <w:pPr>
        <w:pStyle w:val="Listepuces"/>
        <w:spacing w:after="100" w:line="252" w:lineRule="auto"/>
        <w:rPr>
          <w:lang w:val="fr-FR"/>
        </w:rPr>
      </w:pPr>
      <w:r w:rsidRPr="00A31276">
        <w:rPr>
          <w:lang w:val="fr-FR"/>
        </w:rPr>
        <w:t xml:space="preserve">Préserver sa lucidité sous pression en repérant les signaux de </w:t>
      </w:r>
      <w:proofErr w:type="spellStart"/>
      <w:r w:rsidRPr="00A31276">
        <w:rPr>
          <w:lang w:val="fr-FR"/>
        </w:rPr>
        <w:t>surengagement</w:t>
      </w:r>
      <w:proofErr w:type="spellEnd"/>
      <w:r w:rsidRPr="00A31276">
        <w:rPr>
          <w:lang w:val="fr-FR"/>
        </w:rPr>
        <w:t>, de fatigue, de perte de recul ou d’isolement.</w:t>
      </w:r>
    </w:p>
    <w:p w14:paraId="6E52FFE0" w14:textId="77777777" w:rsidR="003E029F" w:rsidRPr="00A31276" w:rsidRDefault="000C76FC">
      <w:pPr>
        <w:pStyle w:val="Listepuces"/>
        <w:spacing w:after="100" w:line="252" w:lineRule="auto"/>
        <w:rPr>
          <w:lang w:val="fr-FR"/>
        </w:rPr>
      </w:pPr>
      <w:r w:rsidRPr="00A31276">
        <w:rPr>
          <w:lang w:val="fr-FR"/>
        </w:rPr>
        <w:t>Réguler sa propre énergie pour protéger la performance collective et éviter la cascade de stress dans l’organisation.</w:t>
      </w:r>
    </w:p>
    <w:p w14:paraId="012F26CB" w14:textId="77777777" w:rsidR="003E029F" w:rsidRPr="00A31276" w:rsidRDefault="000C76FC">
      <w:pPr>
        <w:pStyle w:val="Listepuces"/>
        <w:spacing w:after="100" w:line="252" w:lineRule="auto"/>
        <w:rPr>
          <w:lang w:val="fr-FR"/>
        </w:rPr>
      </w:pPr>
      <w:r w:rsidRPr="00A31276">
        <w:rPr>
          <w:lang w:val="fr-FR"/>
        </w:rPr>
        <w:t>Mobiliser sans s’épuiser ni épuiser les équipes, en clarifiant les priorités, en créant des espaces de régulation et en s’appuyant sur les bons relais.</w:t>
      </w:r>
    </w:p>
    <w:p w14:paraId="08EFFB50" w14:textId="77777777" w:rsidR="003E029F" w:rsidRDefault="000C76FC">
      <w:pPr>
        <w:pStyle w:val="Titre2"/>
        <w:spacing w:before="0" w:line="252" w:lineRule="auto"/>
      </w:pPr>
      <w:r>
        <w:t>Le parcours en 10 épisodes</w:t>
      </w:r>
    </w:p>
    <w:p w14:paraId="7988DD10" w14:textId="77777777" w:rsidR="003E029F" w:rsidRDefault="000C76FC">
      <w:pPr>
        <w:pStyle w:val="EpisodeTitle"/>
        <w:spacing w:before="100" w:after="100" w:line="252" w:lineRule="auto"/>
      </w:pPr>
      <w:r>
        <w:t>Épisode #01 — Ce que j’ai appris en devenant dirigeant</w:t>
      </w:r>
    </w:p>
    <w:p w14:paraId="1295B294" w14:textId="77777777" w:rsidR="003E029F" w:rsidRDefault="000C76FC">
      <w:pPr>
        <w:pStyle w:val="EpisodeMeta"/>
        <w:spacing w:after="100" w:line="252" w:lineRule="auto"/>
      </w:pPr>
      <w:r>
        <w:rPr>
          <w:b/>
        </w:rPr>
        <w:t xml:space="preserve">Avec : </w:t>
      </w:r>
      <w:r>
        <w:t xml:space="preserve">Jean-Paul Bailly ; Edwige Rivoire ; Pierre Decroix ; Stéphane Séguin ; Guillaume Ancel ; Audrey </w:t>
      </w:r>
      <w:proofErr w:type="spellStart"/>
      <w:r>
        <w:t>Mathon-Debétencourt</w:t>
      </w:r>
      <w:proofErr w:type="spellEnd"/>
      <w:r>
        <w:t xml:space="preserve"> ; Renaud Émont ; Anne-Laure Torrésin.</w:t>
      </w:r>
    </w:p>
    <w:p w14:paraId="13F08819" w14:textId="77777777" w:rsidR="003E029F" w:rsidRDefault="000C76FC">
      <w:pPr>
        <w:spacing w:after="100" w:line="252" w:lineRule="auto"/>
      </w:pPr>
      <w:r>
        <w:t>Un épisode d’ouverture sur ce que l’on découvre réellement en devenant dirigeant : solitude, gestion du temps, priorités, responsabilité et imprévu. Plusieurs dirigeants et experts racontent ce qu’ils n’avaient pas anticipé et les apprentissages qui ont changé leur manière d’exercer la fonction.</w:t>
      </w:r>
    </w:p>
    <w:p w14:paraId="0DA1E0A1" w14:textId="77777777" w:rsidR="003E029F" w:rsidRDefault="003E029F">
      <w:pPr>
        <w:pStyle w:val="EpisodeLink"/>
        <w:spacing w:after="100" w:line="252" w:lineRule="auto"/>
      </w:pPr>
      <w:hyperlink r:id="rId10">
        <w:r>
          <w:rPr>
            <w:color w:val="315D7A"/>
            <w:u w:val="single"/>
          </w:rPr>
          <w:t>Écouter</w:t>
        </w:r>
      </w:hyperlink>
    </w:p>
    <w:p w14:paraId="16334726" w14:textId="77777777" w:rsidR="003E029F" w:rsidRDefault="000C76FC">
      <w:pPr>
        <w:pStyle w:val="EpisodeTitle"/>
        <w:spacing w:before="100" w:after="100" w:line="252" w:lineRule="auto"/>
      </w:pPr>
      <w:r>
        <w:t>Épisode #02 — Décider sous pression</w:t>
      </w:r>
    </w:p>
    <w:p w14:paraId="483D3B4B" w14:textId="77777777" w:rsidR="003E029F" w:rsidRDefault="000C76FC">
      <w:pPr>
        <w:pStyle w:val="EpisodeMeta"/>
        <w:spacing w:after="100" w:line="252" w:lineRule="auto"/>
      </w:pPr>
      <w:r>
        <w:rPr>
          <w:b/>
        </w:rPr>
        <w:t xml:space="preserve">Avec : </w:t>
      </w:r>
      <w:r>
        <w:t>Renaud Émont ; Edwige Rivoire ; Guillaume Ancel.</w:t>
      </w:r>
    </w:p>
    <w:p w14:paraId="701898D1" w14:textId="77777777" w:rsidR="003E029F" w:rsidRDefault="000C76FC">
      <w:pPr>
        <w:spacing w:after="100" w:line="252" w:lineRule="auto"/>
      </w:pPr>
      <w:r>
        <w:t>Décider sous pression, c’est composer avec l’incertitude, l’urgence apparente et la responsabilité finale. L’épisode montre comment prioriser, ralentir, déléguer et partager sans fuir la décision, pour transformer la charge invisible en discernement opérationnel.</w:t>
      </w:r>
    </w:p>
    <w:p w14:paraId="7AAB6B54" w14:textId="77777777" w:rsidR="003E029F" w:rsidRDefault="003E029F">
      <w:pPr>
        <w:pStyle w:val="EpisodeLink"/>
        <w:spacing w:after="100" w:line="252" w:lineRule="auto"/>
      </w:pPr>
      <w:hyperlink r:id="rId11">
        <w:r>
          <w:rPr>
            <w:color w:val="315D7A"/>
            <w:u w:val="single"/>
          </w:rPr>
          <w:t>Écouter</w:t>
        </w:r>
      </w:hyperlink>
    </w:p>
    <w:p w14:paraId="1D417AD1" w14:textId="77777777" w:rsidR="003E029F" w:rsidRDefault="000C76FC">
      <w:pPr>
        <w:pStyle w:val="EpisodeTitle"/>
        <w:spacing w:before="100" w:after="100" w:line="252" w:lineRule="auto"/>
      </w:pPr>
      <w:r>
        <w:t>Épisode #03 — Protéger ses équipes commence par soi</w:t>
      </w:r>
    </w:p>
    <w:p w14:paraId="74115CCB" w14:textId="77777777" w:rsidR="003E029F" w:rsidRDefault="000C76FC">
      <w:pPr>
        <w:pStyle w:val="EpisodeMeta"/>
        <w:spacing w:after="100" w:line="252" w:lineRule="auto"/>
      </w:pPr>
      <w:r>
        <w:rPr>
          <w:b/>
        </w:rPr>
        <w:t xml:space="preserve">Avec : </w:t>
      </w:r>
      <w:r>
        <w:t xml:space="preserve">Patrick Boïs ; Anne-Laure Torrésin ; Audrey </w:t>
      </w:r>
      <w:proofErr w:type="spellStart"/>
      <w:r>
        <w:t>Mathon-Debétencourt</w:t>
      </w:r>
      <w:proofErr w:type="spellEnd"/>
      <w:r>
        <w:t>.</w:t>
      </w:r>
    </w:p>
    <w:p w14:paraId="5921D2C7" w14:textId="77777777" w:rsidR="003E029F" w:rsidRDefault="000C76FC">
      <w:pPr>
        <w:spacing w:after="100" w:line="252" w:lineRule="auto"/>
      </w:pPr>
      <w:r>
        <w:t>La pression du dirigeant peut devenir une cascade de stress dans toute l’organisation. Cet épisode montre pourquoi protéger ses équipes commence par la capacité à réguler sa propre tension et à adopter une posture plus consciente, coopérative et protectrice.</w:t>
      </w:r>
    </w:p>
    <w:p w14:paraId="01A00007" w14:textId="77777777" w:rsidR="003E029F" w:rsidRDefault="000C76FC">
      <w:pPr>
        <w:pStyle w:val="EpisodeTitle"/>
        <w:spacing w:before="100" w:after="100" w:line="252" w:lineRule="auto"/>
      </w:pPr>
      <w:r>
        <w:t>Épisode #04 — Gérer vos temps de récupération</w:t>
      </w:r>
    </w:p>
    <w:p w14:paraId="722DB6F3" w14:textId="77777777" w:rsidR="003E029F" w:rsidRDefault="000C76FC">
      <w:pPr>
        <w:pStyle w:val="EpisodeMeta"/>
        <w:spacing w:after="100" w:line="252" w:lineRule="auto"/>
      </w:pPr>
      <w:r>
        <w:t>Fiction pédagogique</w:t>
      </w:r>
    </w:p>
    <w:p w14:paraId="5ED08123" w14:textId="77777777" w:rsidR="003E029F" w:rsidRDefault="000C76FC">
      <w:pPr>
        <w:spacing w:after="100" w:line="252" w:lineRule="auto"/>
      </w:pPr>
      <w:r>
        <w:t>La récupération n’est pas un luxe personnel : c’est une compétence stratégique. La fatigue chronique biaise la décision, réduit la flexibilité cognitive et peut donner l’illusion de la performance. L’épisode transforme le repos en sujet de lucidité, de gouvernance et de performance durable.</w:t>
      </w:r>
    </w:p>
    <w:p w14:paraId="7FF700A4" w14:textId="77777777" w:rsidR="003E029F" w:rsidRDefault="003E029F">
      <w:pPr>
        <w:pStyle w:val="EpisodeLink"/>
        <w:spacing w:after="100" w:line="252" w:lineRule="auto"/>
      </w:pPr>
      <w:hyperlink r:id="rId12">
        <w:r>
          <w:rPr>
            <w:color w:val="315D7A"/>
            <w:u w:val="single"/>
          </w:rPr>
          <w:t>Écouter</w:t>
        </w:r>
      </w:hyperlink>
    </w:p>
    <w:p w14:paraId="41E0871E" w14:textId="77777777" w:rsidR="003E029F" w:rsidRDefault="000C76FC">
      <w:pPr>
        <w:pStyle w:val="EpisodeTitle"/>
        <w:spacing w:before="100" w:after="100" w:line="252" w:lineRule="auto"/>
      </w:pPr>
      <w:r>
        <w:t>Épisode #05 — Repas et stress : savoir écouter son corps</w:t>
      </w:r>
    </w:p>
    <w:p w14:paraId="5DAC6755" w14:textId="77777777" w:rsidR="003E029F" w:rsidRDefault="000C76FC">
      <w:pPr>
        <w:pStyle w:val="EpisodeMeta"/>
        <w:spacing w:after="100" w:line="252" w:lineRule="auto"/>
      </w:pPr>
      <w:r>
        <w:t>Fiction pédagogique</w:t>
      </w:r>
    </w:p>
    <w:p w14:paraId="3A051520" w14:textId="77777777" w:rsidR="003E029F" w:rsidRDefault="000C76FC">
      <w:pPr>
        <w:spacing w:after="100" w:line="252" w:lineRule="auto"/>
      </w:pPr>
      <w:r>
        <w:t>Un épisode concret qui relie alimentation, hydratation, mouvement et résistance au stress. Il rappelle que les routines corporelles ne sont pas des sujets secondaires : elles conditionnent la stabilité cognitive et émotionnelle dont dépend la qualité de décision.</w:t>
      </w:r>
    </w:p>
    <w:p w14:paraId="70084005" w14:textId="77777777" w:rsidR="003E029F" w:rsidRDefault="000C76FC">
      <w:pPr>
        <w:pStyle w:val="EpisodeTitle"/>
        <w:spacing w:before="100" w:after="100" w:line="252" w:lineRule="auto"/>
      </w:pPr>
      <w:r>
        <w:t>Épisode #06 — Se challenger pour décider</w:t>
      </w:r>
    </w:p>
    <w:p w14:paraId="078CE007" w14:textId="77777777" w:rsidR="003E029F" w:rsidRDefault="000C76FC">
      <w:pPr>
        <w:pStyle w:val="EpisodeMeta"/>
        <w:spacing w:after="100" w:line="252" w:lineRule="auto"/>
      </w:pPr>
      <w:r>
        <w:rPr>
          <w:b/>
        </w:rPr>
        <w:t xml:space="preserve">Avec : </w:t>
      </w:r>
      <w:r>
        <w:t>Stéphane Séguin ; Vincent Maginot.</w:t>
      </w:r>
    </w:p>
    <w:p w14:paraId="427B28B6" w14:textId="77777777" w:rsidR="003E029F" w:rsidRDefault="000C76FC">
      <w:pPr>
        <w:spacing w:after="100" w:line="252" w:lineRule="auto"/>
      </w:pPr>
      <w:r>
        <w:t>L’un des grands impensés du sommet est la solitude du décideur. Coaching, cercle de pairs, intelligence collective : l’épisode montre comment créer des espaces sûrs pour penser autrement, confronter ses angles morts et retrouver du recul.</w:t>
      </w:r>
    </w:p>
    <w:p w14:paraId="09D5A27D" w14:textId="77777777" w:rsidR="003E029F" w:rsidRDefault="000C76FC">
      <w:pPr>
        <w:pStyle w:val="EpisodeTitle"/>
        <w:spacing w:before="100" w:after="100" w:line="252" w:lineRule="auto"/>
      </w:pPr>
      <w:r>
        <w:t>Épisode #07 — Mobiliser ses équipes sans s’épuiser</w:t>
      </w:r>
    </w:p>
    <w:p w14:paraId="63C75D1D" w14:textId="77777777" w:rsidR="003E029F" w:rsidRDefault="000C76FC">
      <w:pPr>
        <w:pStyle w:val="EpisodeMeta"/>
        <w:spacing w:after="100" w:line="252" w:lineRule="auto"/>
      </w:pPr>
      <w:r>
        <w:rPr>
          <w:b/>
        </w:rPr>
        <w:t xml:space="preserve">Avec : </w:t>
      </w:r>
      <w:r>
        <w:t>Patrick Boïs ; Caroline Nicolas.</w:t>
      </w:r>
    </w:p>
    <w:p w14:paraId="724C1B37" w14:textId="77777777" w:rsidR="003E029F" w:rsidRDefault="000C76FC">
      <w:pPr>
        <w:spacing w:after="100" w:line="252" w:lineRule="auto"/>
      </w:pPr>
      <w:r>
        <w:t>Comment garder l’ambition sans transformer la pression en énergie destructrice ? L’épisode distingue l’énergie qui embarque de celle qui épuise et propose des leviers de clarification, de régulation, de reconnaissance et de renoncement.</w:t>
      </w:r>
    </w:p>
    <w:p w14:paraId="6CBD0C95" w14:textId="77777777" w:rsidR="003E029F" w:rsidRDefault="000C76FC">
      <w:pPr>
        <w:pStyle w:val="EpisodeTitle"/>
        <w:spacing w:before="100" w:after="100" w:line="252" w:lineRule="auto"/>
      </w:pPr>
      <w:r>
        <w:t>Épisode #08 — L’intelligence émotionnelle du dirigeant</w:t>
      </w:r>
    </w:p>
    <w:p w14:paraId="2B9896DB" w14:textId="77777777" w:rsidR="003E029F" w:rsidRDefault="000C76FC">
      <w:pPr>
        <w:pStyle w:val="EpisodeMeta"/>
        <w:spacing w:after="100" w:line="252" w:lineRule="auto"/>
      </w:pPr>
      <w:r>
        <w:rPr>
          <w:b/>
        </w:rPr>
        <w:t xml:space="preserve">Avec : </w:t>
      </w:r>
      <w:r>
        <w:t xml:space="preserve">Laurence </w:t>
      </w:r>
      <w:proofErr w:type="spellStart"/>
      <w:r>
        <w:t>Saunder</w:t>
      </w:r>
      <w:proofErr w:type="spellEnd"/>
      <w:r>
        <w:t xml:space="preserve"> ; Caroline Nicolas ; Pierre Decroix.</w:t>
      </w:r>
    </w:p>
    <w:p w14:paraId="17E02A99" w14:textId="77777777" w:rsidR="003E029F" w:rsidRDefault="000C76FC">
      <w:pPr>
        <w:spacing w:after="100" w:line="252" w:lineRule="auto"/>
      </w:pPr>
      <w:r>
        <w:t>L’épisode reconnecte deux dimensions souvent séparées : le pouvoir et la sensibilité. Les émotions ne sont pas l’ennemi de la décision ; bien comprises, elles deviennent un outil d’alignement et de discernement. Diriger avec intelligence émotionnelle, c’est devenir plus lisible, plus fiable et plus capable de répondre plutôt que de réagir.</w:t>
      </w:r>
    </w:p>
    <w:p w14:paraId="0DCEFDA9" w14:textId="77777777" w:rsidR="003E029F" w:rsidRDefault="000C76FC">
      <w:pPr>
        <w:pStyle w:val="EpisodeTitle"/>
        <w:spacing w:before="100" w:after="100" w:line="252" w:lineRule="auto"/>
      </w:pPr>
      <w:r>
        <w:lastRenderedPageBreak/>
        <w:t>Épisode #09 — Grand témoin — Mathieu Gallet : trajectoire, aléas et rebonds</w:t>
      </w:r>
    </w:p>
    <w:p w14:paraId="58E5FA36" w14:textId="77777777" w:rsidR="003E029F" w:rsidRDefault="000C76FC">
      <w:pPr>
        <w:pStyle w:val="EpisodeMeta"/>
        <w:spacing w:after="100" w:line="252" w:lineRule="auto"/>
      </w:pPr>
      <w:r>
        <w:t>Entretien grand témoin</w:t>
      </w:r>
    </w:p>
    <w:p w14:paraId="09BCBDD7" w14:textId="77777777" w:rsidR="003E029F" w:rsidRDefault="000C76FC">
      <w:pPr>
        <w:pStyle w:val="EpisodeMeta"/>
        <w:spacing w:after="100" w:line="252" w:lineRule="auto"/>
      </w:pPr>
      <w:r>
        <w:rPr>
          <w:b/>
        </w:rPr>
        <w:t xml:space="preserve">Avec : </w:t>
      </w:r>
      <w:r>
        <w:t>Mathieu Gallet — ancien président de Radio France et de l’INA ; entrepreneur dans l’audio ; président du conseil de surveillance des Échos.</w:t>
      </w:r>
    </w:p>
    <w:p w14:paraId="28CB9AE0" w14:textId="77777777" w:rsidR="003E029F" w:rsidRDefault="000C76FC">
      <w:pPr>
        <w:spacing w:after="100" w:line="252" w:lineRule="auto"/>
      </w:pPr>
      <w:r>
        <w:t>Un grand entretien consacré à la résilience du dirigeant : traverser l’épreuve, absorber une rupture, se relever et reconstruire une trajectoire sans perdre sa capacité d’action.</w:t>
      </w:r>
    </w:p>
    <w:p w14:paraId="26015EF0" w14:textId="77777777" w:rsidR="003E029F" w:rsidRDefault="000C76FC">
      <w:pPr>
        <w:pStyle w:val="EpisodeTitle"/>
        <w:spacing w:before="100" w:after="100" w:line="252" w:lineRule="auto"/>
      </w:pPr>
      <w:r>
        <w:t>Épisode #10 — Grand témoin — Jean-Paul Bailly : diriger dans le temps long</w:t>
      </w:r>
    </w:p>
    <w:p w14:paraId="1DA3F5AE" w14:textId="77777777" w:rsidR="003E029F" w:rsidRDefault="000C76FC">
      <w:pPr>
        <w:pStyle w:val="EpisodeMeta"/>
        <w:spacing w:after="100" w:line="252" w:lineRule="auto"/>
      </w:pPr>
      <w:r>
        <w:t>Entretien grand témoin</w:t>
      </w:r>
    </w:p>
    <w:p w14:paraId="3614DB8B" w14:textId="77777777" w:rsidR="003E029F" w:rsidRDefault="000C76FC">
      <w:pPr>
        <w:pStyle w:val="EpisodeMeta"/>
        <w:spacing w:after="100" w:line="252" w:lineRule="auto"/>
      </w:pPr>
      <w:r>
        <w:rPr>
          <w:b/>
        </w:rPr>
        <w:t xml:space="preserve">Avec : </w:t>
      </w:r>
      <w:r>
        <w:t>Jean-Paul Bailly — ancien président-directeur général de la RATP ; ancien président du groupe La Poste ; président d’honneur de La Poste.</w:t>
      </w:r>
    </w:p>
    <w:p w14:paraId="59373A56" w14:textId="77777777" w:rsidR="003E029F" w:rsidRDefault="000C76FC">
      <w:pPr>
        <w:spacing w:after="100" w:line="252" w:lineRule="auto"/>
      </w:pPr>
      <w:r>
        <w:t>Jean-Paul Bailly partage une vision rare de la fonction de président dans la durée. Il parle de transformation, de rythme, de confiance, de renoncement, de courage et de philosophie de management. Un épisode de clôture qui inscrit la performance du dirigeant dans le temps long.</w:t>
      </w:r>
    </w:p>
    <w:p w14:paraId="36C5E317" w14:textId="77777777" w:rsidR="003E029F" w:rsidRDefault="003E029F">
      <w:pPr>
        <w:pStyle w:val="EpisodeLink"/>
        <w:spacing w:after="100" w:line="252" w:lineRule="auto"/>
      </w:pPr>
      <w:hyperlink r:id="rId13">
        <w:r>
          <w:rPr>
            <w:color w:val="315D7A"/>
            <w:u w:val="single"/>
          </w:rPr>
          <w:t>Écouter</w:t>
        </w:r>
      </w:hyperlink>
    </w:p>
    <w:p w14:paraId="60A5A7C5" w14:textId="77777777" w:rsidR="00031435" w:rsidRDefault="008C0851">
      <w:pPr>
        <w:pStyle w:val="Titre1"/>
        <w:pageBreakBefore/>
        <w:spacing w:before="0" w:after="100" w:line="252" w:lineRule="auto"/>
      </w:pPr>
      <w:r>
        <w:lastRenderedPageBreak/>
        <w:t>Modalités de déploiement</w:t>
      </w:r>
    </w:p>
    <w:p w14:paraId="4E22162B" w14:textId="77777777" w:rsidR="00031435" w:rsidRDefault="008C0851">
      <w:pPr>
        <w:spacing w:after="100" w:line="252" w:lineRule="auto"/>
      </w:pPr>
      <w:r>
        <w:t>Écoute individuelle à la carte ou parcours séquencé, avant ou après un temps collectif. Le parcours peut nourrir la réflexion des dirigeants tout au long de l’année et s’intégrer à un programme talents, un séminaire ou une communauté de leaders.</w:t>
      </w:r>
    </w:p>
    <w:p w14:paraId="0CB95527" w14:textId="77777777" w:rsidR="00031435" w:rsidRDefault="008C0851">
      <w:pPr>
        <w:spacing w:after="100" w:line="252" w:lineRule="auto"/>
      </w:pPr>
      <w:r>
        <w:t>Langues : français et anglais, selon la disponibilité des épisodes.</w:t>
      </w:r>
    </w:p>
    <w:tbl>
      <w:tblPr>
        <w:tblW w:w="0" w:type="auto"/>
        <w:jc w:val="center"/>
        <w:tblLayout w:type="fixed"/>
        <w:tblLook w:val="04A0" w:firstRow="1" w:lastRow="0" w:firstColumn="1" w:lastColumn="0" w:noHBand="0" w:noVBand="1"/>
      </w:tblPr>
      <w:tblGrid>
        <w:gridCol w:w="2381"/>
        <w:gridCol w:w="7143"/>
      </w:tblGrid>
      <w:tr w:rsidR="003E029F" w14:paraId="6DF2BA89" w14:textId="77777777">
        <w:trPr>
          <w:cantSplit/>
          <w:jc w:val="center"/>
        </w:trPr>
        <w:tc>
          <w:tcPr>
            <w:tcW w:w="2381" w:type="dxa"/>
            <w:tcBorders>
              <w:bottom w:val="single" w:sz="4" w:space="0" w:color="E5E9ED"/>
            </w:tcBorders>
            <w:shd w:val="clear" w:color="auto" w:fill="F3F5F7"/>
            <w:tcMar>
              <w:top w:w="85" w:type="dxa"/>
              <w:left w:w="110" w:type="dxa"/>
              <w:bottom w:w="85" w:type="dxa"/>
              <w:right w:w="110" w:type="dxa"/>
            </w:tcMar>
            <w:vAlign w:val="center"/>
          </w:tcPr>
          <w:p w14:paraId="3D04715D" w14:textId="77777777" w:rsidR="003E029F" w:rsidRDefault="000C76FC">
            <w:pPr>
              <w:spacing w:after="0"/>
            </w:pPr>
            <w:r>
              <w:rPr>
                <w:b/>
                <w:color w:val="315D7A"/>
                <w:sz w:val="20"/>
              </w:rPr>
              <w:t>Déploiement</w:t>
            </w:r>
          </w:p>
        </w:tc>
        <w:tc>
          <w:tcPr>
            <w:tcW w:w="7143" w:type="dxa"/>
            <w:tcBorders>
              <w:bottom w:val="single" w:sz="4" w:space="0" w:color="E5E9ED"/>
            </w:tcBorders>
            <w:tcMar>
              <w:top w:w="85" w:type="dxa"/>
              <w:left w:w="110" w:type="dxa"/>
              <w:bottom w:w="85" w:type="dxa"/>
              <w:right w:w="110" w:type="dxa"/>
            </w:tcMar>
            <w:vAlign w:val="center"/>
          </w:tcPr>
          <w:p w14:paraId="6E7DDF77" w14:textId="77777777" w:rsidR="003E029F" w:rsidRDefault="000C76FC">
            <w:pPr>
              <w:spacing w:after="0"/>
            </w:pPr>
            <w:r>
              <w:rPr>
                <w:sz w:val="20"/>
              </w:rPr>
              <w:t>Application Tootak, LMS / LXP ou mise à disposition des fichiers selon le dispositif retenu.</w:t>
            </w:r>
          </w:p>
        </w:tc>
      </w:tr>
      <w:tr w:rsidR="003E029F" w14:paraId="28910CBD" w14:textId="77777777">
        <w:trPr>
          <w:cantSplit/>
          <w:jc w:val="center"/>
        </w:trPr>
        <w:tc>
          <w:tcPr>
            <w:tcW w:w="2381" w:type="dxa"/>
            <w:tcBorders>
              <w:bottom w:val="single" w:sz="4" w:space="0" w:color="E5E9ED"/>
            </w:tcBorders>
            <w:shd w:val="clear" w:color="auto" w:fill="F3F5F7"/>
            <w:tcMar>
              <w:top w:w="85" w:type="dxa"/>
              <w:left w:w="110" w:type="dxa"/>
              <w:bottom w:w="85" w:type="dxa"/>
              <w:right w:w="110" w:type="dxa"/>
            </w:tcMar>
            <w:vAlign w:val="center"/>
          </w:tcPr>
          <w:p w14:paraId="13EAFF9A" w14:textId="77777777" w:rsidR="003E029F" w:rsidRDefault="000C76FC">
            <w:pPr>
              <w:spacing w:after="0"/>
            </w:pPr>
            <w:r>
              <w:rPr>
                <w:b/>
                <w:color w:val="315D7A"/>
                <w:sz w:val="20"/>
              </w:rPr>
              <w:t>Animation</w:t>
            </w:r>
          </w:p>
        </w:tc>
        <w:tc>
          <w:tcPr>
            <w:tcW w:w="7143" w:type="dxa"/>
            <w:tcBorders>
              <w:bottom w:val="single" w:sz="4" w:space="0" w:color="E5E9ED"/>
            </w:tcBorders>
            <w:tcMar>
              <w:top w:w="85" w:type="dxa"/>
              <w:left w:w="110" w:type="dxa"/>
              <w:bottom w:w="85" w:type="dxa"/>
              <w:right w:w="110" w:type="dxa"/>
            </w:tcMar>
            <w:vAlign w:val="center"/>
          </w:tcPr>
          <w:p w14:paraId="395C64BA" w14:textId="77777777" w:rsidR="003E029F" w:rsidRDefault="000C76FC">
            <w:pPr>
              <w:spacing w:after="0"/>
            </w:pPr>
            <w:r>
              <w:rPr>
                <w:sz w:val="20"/>
              </w:rPr>
              <w:t>Sélection de récits, aide à la construction du parcours, recommandations de moments d’écoute et accompagnement d’usage.</w:t>
            </w:r>
          </w:p>
        </w:tc>
      </w:tr>
      <w:tr w:rsidR="003E029F" w14:paraId="4F58B4D3" w14:textId="77777777">
        <w:trPr>
          <w:cantSplit/>
          <w:jc w:val="center"/>
        </w:trPr>
        <w:tc>
          <w:tcPr>
            <w:tcW w:w="2381" w:type="dxa"/>
            <w:tcBorders>
              <w:bottom w:val="single" w:sz="4" w:space="0" w:color="E5E9ED"/>
            </w:tcBorders>
            <w:shd w:val="clear" w:color="auto" w:fill="F3F5F7"/>
            <w:tcMar>
              <w:top w:w="85" w:type="dxa"/>
              <w:left w:w="110" w:type="dxa"/>
              <w:bottom w:w="85" w:type="dxa"/>
              <w:right w:w="110" w:type="dxa"/>
            </w:tcMar>
            <w:vAlign w:val="center"/>
          </w:tcPr>
          <w:p w14:paraId="5FA267FB" w14:textId="77777777" w:rsidR="003E029F" w:rsidRDefault="000C76FC">
            <w:pPr>
              <w:spacing w:after="0"/>
            </w:pPr>
            <w:r>
              <w:rPr>
                <w:b/>
                <w:color w:val="315D7A"/>
                <w:sz w:val="20"/>
              </w:rPr>
              <w:t>Actualisation</w:t>
            </w:r>
          </w:p>
        </w:tc>
        <w:tc>
          <w:tcPr>
            <w:tcW w:w="7143" w:type="dxa"/>
            <w:tcBorders>
              <w:bottom w:val="single" w:sz="4" w:space="0" w:color="E5E9ED"/>
            </w:tcBorders>
            <w:tcMar>
              <w:top w:w="85" w:type="dxa"/>
              <w:left w:w="110" w:type="dxa"/>
              <w:bottom w:w="85" w:type="dxa"/>
              <w:right w:w="110" w:type="dxa"/>
            </w:tcMar>
            <w:vAlign w:val="center"/>
          </w:tcPr>
          <w:p w14:paraId="747BE04C" w14:textId="77777777" w:rsidR="003E029F" w:rsidRDefault="000C76FC">
            <w:pPr>
              <w:spacing w:after="0"/>
            </w:pPr>
            <w:r>
              <w:rPr>
                <w:sz w:val="20"/>
              </w:rPr>
              <w:t>L’Academy s’enrichit de nouveaux programmes et de nouveaux épisodes au fil de l’année.</w:t>
            </w:r>
          </w:p>
        </w:tc>
      </w:tr>
      <w:tr w:rsidR="003E029F" w14:paraId="3AFB5000" w14:textId="77777777">
        <w:trPr>
          <w:cantSplit/>
          <w:jc w:val="center"/>
        </w:trPr>
        <w:tc>
          <w:tcPr>
            <w:tcW w:w="2381" w:type="dxa"/>
            <w:tcBorders>
              <w:bottom w:val="single" w:sz="4" w:space="0" w:color="E5E9ED"/>
            </w:tcBorders>
            <w:shd w:val="clear" w:color="auto" w:fill="F3F5F7"/>
            <w:tcMar>
              <w:top w:w="85" w:type="dxa"/>
              <w:left w:w="110" w:type="dxa"/>
              <w:bottom w:w="85" w:type="dxa"/>
              <w:right w:w="110" w:type="dxa"/>
            </w:tcMar>
            <w:vAlign w:val="center"/>
          </w:tcPr>
          <w:p w14:paraId="191DEE2D" w14:textId="77777777" w:rsidR="003E029F" w:rsidRDefault="000C76FC">
            <w:pPr>
              <w:spacing w:after="0"/>
            </w:pPr>
            <w:r>
              <w:rPr>
                <w:b/>
                <w:color w:val="315D7A"/>
                <w:sz w:val="20"/>
              </w:rPr>
              <w:t>Logique d’usage</w:t>
            </w:r>
          </w:p>
        </w:tc>
        <w:tc>
          <w:tcPr>
            <w:tcW w:w="7143" w:type="dxa"/>
            <w:tcBorders>
              <w:bottom w:val="single" w:sz="4" w:space="0" w:color="E5E9ED"/>
            </w:tcBorders>
            <w:tcMar>
              <w:top w:w="85" w:type="dxa"/>
              <w:left w:w="110" w:type="dxa"/>
              <w:bottom w:w="85" w:type="dxa"/>
              <w:right w:w="110" w:type="dxa"/>
            </w:tcMar>
            <w:vAlign w:val="center"/>
          </w:tcPr>
          <w:p w14:paraId="2C4700ED" w14:textId="77777777" w:rsidR="003E029F" w:rsidRDefault="000C76FC">
            <w:pPr>
              <w:spacing w:after="0"/>
            </w:pPr>
            <w:r>
              <w:rPr>
                <w:sz w:val="20"/>
              </w:rPr>
              <w:t>Préparer, ouvrir, ancrer, inspirer ou prolonger un temps de développement ; écoute individuelle ou collective.</w:t>
            </w:r>
          </w:p>
        </w:tc>
      </w:tr>
    </w:tbl>
    <w:p w14:paraId="5638E9EA" w14:textId="77777777" w:rsidR="00031435" w:rsidRDefault="008C0851">
      <w:pPr>
        <w:pStyle w:val="Titre1"/>
        <w:spacing w:before="0" w:after="100" w:line="252" w:lineRule="auto"/>
      </w:pPr>
      <w:r>
        <w:t>Votre projet</w:t>
      </w:r>
    </w:p>
    <w:p w14:paraId="60728EA5" w14:textId="77777777" w:rsidR="00031435" w:rsidRDefault="008C0851">
      <w:pPr>
        <w:spacing w:after="100" w:line="252" w:lineRule="auto"/>
      </w:pPr>
      <w:r>
        <w:t>Pour examiner la place de ce parcours dans votre dispositif de développement des dirigeants : contact@tootak.com — tootak.fr.</w:t>
      </w:r>
    </w:p>
    <w:sectPr w:rsidR="00031435">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1DF89" w14:textId="77777777" w:rsidR="008C0851" w:rsidRDefault="008C0851" w:rsidP="00E17837">
      <w:pPr>
        <w:spacing w:after="0" w:line="240" w:lineRule="auto"/>
      </w:pPr>
      <w:r>
        <w:separator/>
      </w:r>
    </w:p>
  </w:endnote>
  <w:endnote w:type="continuationSeparator" w:id="0">
    <w:p w14:paraId="638CF122" w14:textId="77777777" w:rsidR="008C0851" w:rsidRDefault="008C0851" w:rsidP="00E17837">
      <w:pPr>
        <w:spacing w:after="0" w:line="240" w:lineRule="auto"/>
      </w:pPr>
      <w:r>
        <w:continuationSeparator/>
      </w:r>
    </w:p>
  </w:endnote>
  <w:endnote w:type="continuationNotice" w:id="1">
    <w:p w14:paraId="233D73E7" w14:textId="77777777" w:rsidR="008C0851" w:rsidRDefault="008C08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CB892" w14:textId="77777777" w:rsidR="00141827" w:rsidRDefault="00141827" w:rsidP="00141827">
    <w:pPr>
      <w:pStyle w:val="Pieddepage"/>
      <w:jc w:val="center"/>
    </w:pPr>
    <w:r>
      <w:t>TOOTAK – 3 rue Danton 92 240 Malakoff France - Port. : 06 61 65 26 23 - Site web : http://www.tootak.fr - Code NAF  6201Z - N° RCS 833456890 - NANTERRE</w:t>
    </w:r>
  </w:p>
  <w:p w14:paraId="66A16685" w14:textId="77777777" w:rsidR="00E17837" w:rsidRPr="00141827" w:rsidRDefault="00141827" w:rsidP="00141827">
    <w:pPr>
      <w:pStyle w:val="Pieddepage"/>
      <w:jc w:val="center"/>
    </w:pPr>
    <w:r>
      <w:t>- SAS au capital social de 272 512 € - Siret : 83345618900012 - N° TVA FR64833456189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D992F" w14:textId="77777777" w:rsidR="008C0851" w:rsidRDefault="008C0851" w:rsidP="00E17837">
      <w:pPr>
        <w:spacing w:after="0" w:line="240" w:lineRule="auto"/>
      </w:pPr>
      <w:r>
        <w:separator/>
      </w:r>
    </w:p>
  </w:footnote>
  <w:footnote w:type="continuationSeparator" w:id="0">
    <w:p w14:paraId="172F31CE" w14:textId="77777777" w:rsidR="008C0851" w:rsidRDefault="008C0851" w:rsidP="00E17837">
      <w:pPr>
        <w:spacing w:after="0" w:line="240" w:lineRule="auto"/>
      </w:pPr>
      <w:r>
        <w:continuationSeparator/>
      </w:r>
    </w:p>
  </w:footnote>
  <w:footnote w:type="continuationNotice" w:id="1">
    <w:p w14:paraId="0FC72437" w14:textId="77777777" w:rsidR="008C0851" w:rsidRDefault="008C08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8444C" w14:textId="77777777" w:rsidR="00DF073B" w:rsidRDefault="00AA449F" w:rsidP="00AA449F">
    <w:pPr>
      <w:pStyle w:val="En-tte"/>
      <w:jc w:val="center"/>
    </w:pPr>
    <w:r w:rsidRPr="00AA449F">
      <w:rPr>
        <w:noProof/>
      </w:rPr>
      <w:drawing>
        <wp:inline distT="0" distB="0" distL="0" distR="0" wp14:anchorId="44CED077" wp14:editId="2DCAC23E">
          <wp:extent cx="909320" cy="511105"/>
          <wp:effectExtent l="0" t="0" r="508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24673" cy="5197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E60E5B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A991"/>
    <w:multiLevelType w:val="multilevel"/>
    <w:tmpl w:val="C60AFBD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324184F"/>
    <w:multiLevelType w:val="hybridMultilevel"/>
    <w:tmpl w:val="54162442"/>
    <w:lvl w:ilvl="0" w:tplc="474815B6">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712784F"/>
    <w:multiLevelType w:val="multilevel"/>
    <w:tmpl w:val="9DAA1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290D45"/>
    <w:multiLevelType w:val="multilevel"/>
    <w:tmpl w:val="6FE634F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33460C"/>
    <w:multiLevelType w:val="hybridMultilevel"/>
    <w:tmpl w:val="FCF4CCE2"/>
    <w:lvl w:ilvl="0" w:tplc="5AC46AF6">
      <w:start w:val="5"/>
      <w:numFmt w:val="bullet"/>
      <w:lvlText w:val="-"/>
      <w:lvlJc w:val="left"/>
      <w:pPr>
        <w:ind w:left="720" w:hanging="360"/>
      </w:pPr>
      <w:rPr>
        <w:rFonts w:ascii="Aptos" w:eastAsiaTheme="minorEastAsia"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7873F80"/>
    <w:multiLevelType w:val="multilevel"/>
    <w:tmpl w:val="8CA044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0031DA"/>
    <w:multiLevelType w:val="multilevel"/>
    <w:tmpl w:val="4F32A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F03601"/>
    <w:multiLevelType w:val="multilevel"/>
    <w:tmpl w:val="F42E0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5C640A"/>
    <w:multiLevelType w:val="multilevel"/>
    <w:tmpl w:val="3D4E57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940E60"/>
    <w:multiLevelType w:val="multilevel"/>
    <w:tmpl w:val="6CA42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57251B"/>
    <w:multiLevelType w:val="multilevel"/>
    <w:tmpl w:val="7F985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A430EE"/>
    <w:multiLevelType w:val="hybridMultilevel"/>
    <w:tmpl w:val="C8281C12"/>
    <w:lvl w:ilvl="0" w:tplc="040C0001">
      <w:start w:val="1"/>
      <w:numFmt w:val="bullet"/>
      <w:lvlText w:val=""/>
      <w:lvlJc w:val="left"/>
      <w:pPr>
        <w:ind w:left="768" w:hanging="360"/>
      </w:pPr>
      <w:rPr>
        <w:rFonts w:ascii="Symbol" w:hAnsi="Symbol" w:hint="default"/>
      </w:rPr>
    </w:lvl>
    <w:lvl w:ilvl="1" w:tplc="040C0003" w:tentative="1">
      <w:start w:val="1"/>
      <w:numFmt w:val="bullet"/>
      <w:lvlText w:val="o"/>
      <w:lvlJc w:val="left"/>
      <w:pPr>
        <w:ind w:left="1488" w:hanging="360"/>
      </w:pPr>
      <w:rPr>
        <w:rFonts w:ascii="Courier New" w:hAnsi="Courier New" w:cs="Courier New" w:hint="default"/>
      </w:rPr>
    </w:lvl>
    <w:lvl w:ilvl="2" w:tplc="040C0005" w:tentative="1">
      <w:start w:val="1"/>
      <w:numFmt w:val="bullet"/>
      <w:lvlText w:val=""/>
      <w:lvlJc w:val="left"/>
      <w:pPr>
        <w:ind w:left="2208" w:hanging="360"/>
      </w:pPr>
      <w:rPr>
        <w:rFonts w:ascii="Wingdings" w:hAnsi="Wingdings" w:hint="default"/>
      </w:rPr>
    </w:lvl>
    <w:lvl w:ilvl="3" w:tplc="040C0001" w:tentative="1">
      <w:start w:val="1"/>
      <w:numFmt w:val="bullet"/>
      <w:lvlText w:val=""/>
      <w:lvlJc w:val="left"/>
      <w:pPr>
        <w:ind w:left="2928" w:hanging="360"/>
      </w:pPr>
      <w:rPr>
        <w:rFonts w:ascii="Symbol" w:hAnsi="Symbol" w:hint="default"/>
      </w:rPr>
    </w:lvl>
    <w:lvl w:ilvl="4" w:tplc="040C0003" w:tentative="1">
      <w:start w:val="1"/>
      <w:numFmt w:val="bullet"/>
      <w:lvlText w:val="o"/>
      <w:lvlJc w:val="left"/>
      <w:pPr>
        <w:ind w:left="3648" w:hanging="360"/>
      </w:pPr>
      <w:rPr>
        <w:rFonts w:ascii="Courier New" w:hAnsi="Courier New" w:cs="Courier New" w:hint="default"/>
      </w:rPr>
    </w:lvl>
    <w:lvl w:ilvl="5" w:tplc="040C0005" w:tentative="1">
      <w:start w:val="1"/>
      <w:numFmt w:val="bullet"/>
      <w:lvlText w:val=""/>
      <w:lvlJc w:val="left"/>
      <w:pPr>
        <w:ind w:left="4368" w:hanging="360"/>
      </w:pPr>
      <w:rPr>
        <w:rFonts w:ascii="Wingdings" w:hAnsi="Wingdings" w:hint="default"/>
      </w:rPr>
    </w:lvl>
    <w:lvl w:ilvl="6" w:tplc="040C0001" w:tentative="1">
      <w:start w:val="1"/>
      <w:numFmt w:val="bullet"/>
      <w:lvlText w:val=""/>
      <w:lvlJc w:val="left"/>
      <w:pPr>
        <w:ind w:left="5088" w:hanging="360"/>
      </w:pPr>
      <w:rPr>
        <w:rFonts w:ascii="Symbol" w:hAnsi="Symbol" w:hint="default"/>
      </w:rPr>
    </w:lvl>
    <w:lvl w:ilvl="7" w:tplc="040C0003" w:tentative="1">
      <w:start w:val="1"/>
      <w:numFmt w:val="bullet"/>
      <w:lvlText w:val="o"/>
      <w:lvlJc w:val="left"/>
      <w:pPr>
        <w:ind w:left="5808" w:hanging="360"/>
      </w:pPr>
      <w:rPr>
        <w:rFonts w:ascii="Courier New" w:hAnsi="Courier New" w:cs="Courier New" w:hint="default"/>
      </w:rPr>
    </w:lvl>
    <w:lvl w:ilvl="8" w:tplc="040C0005" w:tentative="1">
      <w:start w:val="1"/>
      <w:numFmt w:val="bullet"/>
      <w:lvlText w:val=""/>
      <w:lvlJc w:val="left"/>
      <w:pPr>
        <w:ind w:left="6528" w:hanging="360"/>
      </w:pPr>
      <w:rPr>
        <w:rFonts w:ascii="Wingdings" w:hAnsi="Wingdings" w:hint="default"/>
      </w:rPr>
    </w:lvl>
  </w:abstractNum>
  <w:abstractNum w:abstractNumId="13" w15:restartNumberingAfterBreak="0">
    <w:nsid w:val="2C2E2318"/>
    <w:multiLevelType w:val="multilevel"/>
    <w:tmpl w:val="05748E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3279EF"/>
    <w:multiLevelType w:val="multilevel"/>
    <w:tmpl w:val="3D369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5B3EEF"/>
    <w:multiLevelType w:val="multilevel"/>
    <w:tmpl w:val="0AB655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EE2E0A"/>
    <w:multiLevelType w:val="multilevel"/>
    <w:tmpl w:val="F4727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343094"/>
    <w:multiLevelType w:val="hybridMultilevel"/>
    <w:tmpl w:val="65C0F878"/>
    <w:lvl w:ilvl="0" w:tplc="C9848860">
      <w:start w:val="50"/>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22B04BC"/>
    <w:multiLevelType w:val="multilevel"/>
    <w:tmpl w:val="7DB4D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6D57C0"/>
    <w:multiLevelType w:val="multilevel"/>
    <w:tmpl w:val="4848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AD2D96"/>
    <w:multiLevelType w:val="hybridMultilevel"/>
    <w:tmpl w:val="BC360FE4"/>
    <w:lvl w:ilvl="0" w:tplc="8BA006FE">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1" w15:restartNumberingAfterBreak="0">
    <w:nsid w:val="62BF1590"/>
    <w:multiLevelType w:val="multilevel"/>
    <w:tmpl w:val="D2687B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57D4106"/>
    <w:multiLevelType w:val="hybridMultilevel"/>
    <w:tmpl w:val="A734F690"/>
    <w:lvl w:ilvl="0" w:tplc="6CA8C88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D6C1ED7"/>
    <w:multiLevelType w:val="multilevel"/>
    <w:tmpl w:val="CBA28E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0CA56CC"/>
    <w:multiLevelType w:val="multilevel"/>
    <w:tmpl w:val="1E2CC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3891685"/>
    <w:multiLevelType w:val="multilevel"/>
    <w:tmpl w:val="64AA6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4412DD"/>
    <w:multiLevelType w:val="hybridMultilevel"/>
    <w:tmpl w:val="236C41FC"/>
    <w:lvl w:ilvl="0" w:tplc="810C4D3A">
      <w:start w:val="5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57A276D"/>
    <w:multiLevelType w:val="multilevel"/>
    <w:tmpl w:val="59C41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A426EA"/>
    <w:multiLevelType w:val="hybridMultilevel"/>
    <w:tmpl w:val="4D88F292"/>
    <w:lvl w:ilvl="0" w:tplc="75F2340E">
      <w:start w:val="6"/>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E6008EC"/>
    <w:multiLevelType w:val="hybridMultilevel"/>
    <w:tmpl w:val="7AD81702"/>
    <w:lvl w:ilvl="0" w:tplc="64743360">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FD60434"/>
    <w:multiLevelType w:val="multilevel"/>
    <w:tmpl w:val="DD7C5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3504880">
    <w:abstractNumId w:val="14"/>
  </w:num>
  <w:num w:numId="2" w16cid:durableId="1412118657">
    <w:abstractNumId w:val="25"/>
  </w:num>
  <w:num w:numId="3" w16cid:durableId="1720545160">
    <w:abstractNumId w:val="18"/>
  </w:num>
  <w:num w:numId="4" w16cid:durableId="699282122">
    <w:abstractNumId w:val="2"/>
  </w:num>
  <w:num w:numId="5" w16cid:durableId="1787500973">
    <w:abstractNumId w:val="6"/>
  </w:num>
  <w:num w:numId="6" w16cid:durableId="926813581">
    <w:abstractNumId w:val="13"/>
  </w:num>
  <w:num w:numId="7" w16cid:durableId="1313288861">
    <w:abstractNumId w:val="3"/>
  </w:num>
  <w:num w:numId="8" w16cid:durableId="1188637183">
    <w:abstractNumId w:val="23"/>
  </w:num>
  <w:num w:numId="9" w16cid:durableId="1863475140">
    <w:abstractNumId w:val="19"/>
  </w:num>
  <w:num w:numId="10" w16cid:durableId="913709528">
    <w:abstractNumId w:val="15"/>
  </w:num>
  <w:num w:numId="11" w16cid:durableId="682436660">
    <w:abstractNumId w:val="10"/>
  </w:num>
  <w:num w:numId="12" w16cid:durableId="1785477">
    <w:abstractNumId w:val="9"/>
  </w:num>
  <w:num w:numId="13" w16cid:durableId="1313293855">
    <w:abstractNumId w:val="11"/>
  </w:num>
  <w:num w:numId="14" w16cid:durableId="670987662">
    <w:abstractNumId w:val="21"/>
  </w:num>
  <w:num w:numId="15" w16cid:durableId="1645505663">
    <w:abstractNumId w:val="7"/>
  </w:num>
  <w:num w:numId="16" w16cid:durableId="679162071">
    <w:abstractNumId w:val="4"/>
  </w:num>
  <w:num w:numId="17" w16cid:durableId="675689009">
    <w:abstractNumId w:val="27"/>
  </w:num>
  <w:num w:numId="18" w16cid:durableId="54933774">
    <w:abstractNumId w:val="24"/>
  </w:num>
  <w:num w:numId="19" w16cid:durableId="894466184">
    <w:abstractNumId w:val="30"/>
  </w:num>
  <w:num w:numId="20" w16cid:durableId="891624432">
    <w:abstractNumId w:val="16"/>
  </w:num>
  <w:num w:numId="21" w16cid:durableId="145245141">
    <w:abstractNumId w:val="20"/>
  </w:num>
  <w:num w:numId="22" w16cid:durableId="2035957468">
    <w:abstractNumId w:val="0"/>
  </w:num>
  <w:num w:numId="23" w16cid:durableId="886990141">
    <w:abstractNumId w:val="5"/>
  </w:num>
  <w:num w:numId="24" w16cid:durableId="1324120316">
    <w:abstractNumId w:val="12"/>
  </w:num>
  <w:num w:numId="25" w16cid:durableId="821779099">
    <w:abstractNumId w:val="22"/>
  </w:num>
  <w:num w:numId="26" w16cid:durableId="1767846466">
    <w:abstractNumId w:val="8"/>
  </w:num>
  <w:num w:numId="27" w16cid:durableId="540938941">
    <w:abstractNumId w:val="1"/>
  </w:num>
  <w:num w:numId="28" w16cid:durableId="1616256042">
    <w:abstractNumId w:val="28"/>
  </w:num>
  <w:num w:numId="29" w16cid:durableId="1542325969">
    <w:abstractNumId w:val="26"/>
  </w:num>
  <w:num w:numId="30" w16cid:durableId="1296179631">
    <w:abstractNumId w:val="17"/>
  </w:num>
  <w:num w:numId="31" w16cid:durableId="64994790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837"/>
    <w:rsid w:val="00017E6F"/>
    <w:rsid w:val="00026475"/>
    <w:rsid w:val="00031435"/>
    <w:rsid w:val="00036F34"/>
    <w:rsid w:val="00045432"/>
    <w:rsid w:val="0006791D"/>
    <w:rsid w:val="00071773"/>
    <w:rsid w:val="00073C26"/>
    <w:rsid w:val="0008111E"/>
    <w:rsid w:val="0009107F"/>
    <w:rsid w:val="00092DCE"/>
    <w:rsid w:val="000A2755"/>
    <w:rsid w:val="000C24AE"/>
    <w:rsid w:val="000C76FC"/>
    <w:rsid w:val="000E4B94"/>
    <w:rsid w:val="00103BA7"/>
    <w:rsid w:val="00110AE7"/>
    <w:rsid w:val="0011469A"/>
    <w:rsid w:val="00125B44"/>
    <w:rsid w:val="00141827"/>
    <w:rsid w:val="00160BEC"/>
    <w:rsid w:val="001967A1"/>
    <w:rsid w:val="001C03E0"/>
    <w:rsid w:val="001C6E21"/>
    <w:rsid w:val="001E1B36"/>
    <w:rsid w:val="00221D02"/>
    <w:rsid w:val="00233F67"/>
    <w:rsid w:val="00237FEE"/>
    <w:rsid w:val="00240390"/>
    <w:rsid w:val="00240986"/>
    <w:rsid w:val="0025188B"/>
    <w:rsid w:val="00257864"/>
    <w:rsid w:val="00280970"/>
    <w:rsid w:val="002A6A27"/>
    <w:rsid w:val="002B2E8D"/>
    <w:rsid w:val="002E377F"/>
    <w:rsid w:val="002F3865"/>
    <w:rsid w:val="002F440B"/>
    <w:rsid w:val="00304757"/>
    <w:rsid w:val="00304B3D"/>
    <w:rsid w:val="00325B3E"/>
    <w:rsid w:val="00326843"/>
    <w:rsid w:val="003340A9"/>
    <w:rsid w:val="00336329"/>
    <w:rsid w:val="003556FF"/>
    <w:rsid w:val="003633D9"/>
    <w:rsid w:val="00373483"/>
    <w:rsid w:val="0037612A"/>
    <w:rsid w:val="003801AB"/>
    <w:rsid w:val="003934DF"/>
    <w:rsid w:val="003A700D"/>
    <w:rsid w:val="003B0998"/>
    <w:rsid w:val="003B2AEA"/>
    <w:rsid w:val="003C2756"/>
    <w:rsid w:val="003C2E61"/>
    <w:rsid w:val="003E029F"/>
    <w:rsid w:val="003F0129"/>
    <w:rsid w:val="00400FAC"/>
    <w:rsid w:val="00411206"/>
    <w:rsid w:val="004266D8"/>
    <w:rsid w:val="00426A1C"/>
    <w:rsid w:val="00427378"/>
    <w:rsid w:val="00446FDA"/>
    <w:rsid w:val="00452A87"/>
    <w:rsid w:val="00463528"/>
    <w:rsid w:val="004717E0"/>
    <w:rsid w:val="00491DCD"/>
    <w:rsid w:val="00492F18"/>
    <w:rsid w:val="004B34FC"/>
    <w:rsid w:val="004D087A"/>
    <w:rsid w:val="004D56BA"/>
    <w:rsid w:val="004E3547"/>
    <w:rsid w:val="004F2BF8"/>
    <w:rsid w:val="0050269B"/>
    <w:rsid w:val="00584A79"/>
    <w:rsid w:val="005A09AB"/>
    <w:rsid w:val="005A7BDF"/>
    <w:rsid w:val="005B1BDE"/>
    <w:rsid w:val="005B7CBC"/>
    <w:rsid w:val="005C0105"/>
    <w:rsid w:val="005C1A69"/>
    <w:rsid w:val="005E0DC9"/>
    <w:rsid w:val="005F6601"/>
    <w:rsid w:val="00621228"/>
    <w:rsid w:val="00635500"/>
    <w:rsid w:val="006504F7"/>
    <w:rsid w:val="00653558"/>
    <w:rsid w:val="00670FB7"/>
    <w:rsid w:val="00673B20"/>
    <w:rsid w:val="006944C4"/>
    <w:rsid w:val="006A59A7"/>
    <w:rsid w:val="006B0888"/>
    <w:rsid w:val="006B4C34"/>
    <w:rsid w:val="006C3451"/>
    <w:rsid w:val="006C5BC4"/>
    <w:rsid w:val="006D58C7"/>
    <w:rsid w:val="006D6F3C"/>
    <w:rsid w:val="006F0911"/>
    <w:rsid w:val="006F6F18"/>
    <w:rsid w:val="00734DCB"/>
    <w:rsid w:val="00736922"/>
    <w:rsid w:val="00770037"/>
    <w:rsid w:val="00775B74"/>
    <w:rsid w:val="00777846"/>
    <w:rsid w:val="007C4971"/>
    <w:rsid w:val="007D2FDC"/>
    <w:rsid w:val="00804D1F"/>
    <w:rsid w:val="008255D8"/>
    <w:rsid w:val="0082798A"/>
    <w:rsid w:val="00832B25"/>
    <w:rsid w:val="00857B66"/>
    <w:rsid w:val="00877C02"/>
    <w:rsid w:val="00886C4E"/>
    <w:rsid w:val="008B36AD"/>
    <w:rsid w:val="008B5F46"/>
    <w:rsid w:val="008C0851"/>
    <w:rsid w:val="008D224C"/>
    <w:rsid w:val="009115CF"/>
    <w:rsid w:val="009218B2"/>
    <w:rsid w:val="00930414"/>
    <w:rsid w:val="0093238E"/>
    <w:rsid w:val="00935152"/>
    <w:rsid w:val="00963258"/>
    <w:rsid w:val="00982499"/>
    <w:rsid w:val="009B7F49"/>
    <w:rsid w:val="009E276D"/>
    <w:rsid w:val="00A1010A"/>
    <w:rsid w:val="00A12AB9"/>
    <w:rsid w:val="00A31276"/>
    <w:rsid w:val="00A53957"/>
    <w:rsid w:val="00A55ACE"/>
    <w:rsid w:val="00AA449F"/>
    <w:rsid w:val="00AB3E1A"/>
    <w:rsid w:val="00AC1773"/>
    <w:rsid w:val="00B04E96"/>
    <w:rsid w:val="00B12E46"/>
    <w:rsid w:val="00B17585"/>
    <w:rsid w:val="00B51BB0"/>
    <w:rsid w:val="00B53541"/>
    <w:rsid w:val="00B55107"/>
    <w:rsid w:val="00B559E7"/>
    <w:rsid w:val="00B6038B"/>
    <w:rsid w:val="00B8150B"/>
    <w:rsid w:val="00B943B7"/>
    <w:rsid w:val="00B94D0B"/>
    <w:rsid w:val="00B97DCB"/>
    <w:rsid w:val="00BB3043"/>
    <w:rsid w:val="00BB458E"/>
    <w:rsid w:val="00BC7FF1"/>
    <w:rsid w:val="00BE0F87"/>
    <w:rsid w:val="00BE1D72"/>
    <w:rsid w:val="00BE44ED"/>
    <w:rsid w:val="00BF358E"/>
    <w:rsid w:val="00C0048D"/>
    <w:rsid w:val="00C217EF"/>
    <w:rsid w:val="00C30DA5"/>
    <w:rsid w:val="00C323EF"/>
    <w:rsid w:val="00C4058D"/>
    <w:rsid w:val="00C4161C"/>
    <w:rsid w:val="00C577F3"/>
    <w:rsid w:val="00C70266"/>
    <w:rsid w:val="00C84346"/>
    <w:rsid w:val="00C844E3"/>
    <w:rsid w:val="00CA1EBD"/>
    <w:rsid w:val="00CB0D52"/>
    <w:rsid w:val="00CC49ED"/>
    <w:rsid w:val="00CE3CF4"/>
    <w:rsid w:val="00CF0F3F"/>
    <w:rsid w:val="00D00585"/>
    <w:rsid w:val="00D03A92"/>
    <w:rsid w:val="00D0500A"/>
    <w:rsid w:val="00D14A54"/>
    <w:rsid w:val="00D32036"/>
    <w:rsid w:val="00D56400"/>
    <w:rsid w:val="00D64DE1"/>
    <w:rsid w:val="00D7035B"/>
    <w:rsid w:val="00D71FAA"/>
    <w:rsid w:val="00D73FCF"/>
    <w:rsid w:val="00D745AD"/>
    <w:rsid w:val="00D90715"/>
    <w:rsid w:val="00DC2062"/>
    <w:rsid w:val="00DD2C13"/>
    <w:rsid w:val="00DD3C0B"/>
    <w:rsid w:val="00DE40D4"/>
    <w:rsid w:val="00DF073B"/>
    <w:rsid w:val="00E156DD"/>
    <w:rsid w:val="00E17837"/>
    <w:rsid w:val="00E308EA"/>
    <w:rsid w:val="00E353B5"/>
    <w:rsid w:val="00E44CA7"/>
    <w:rsid w:val="00E664B1"/>
    <w:rsid w:val="00E81595"/>
    <w:rsid w:val="00E834A3"/>
    <w:rsid w:val="00E87F2E"/>
    <w:rsid w:val="00E947D4"/>
    <w:rsid w:val="00EB3DB6"/>
    <w:rsid w:val="00ED750E"/>
    <w:rsid w:val="00EF4032"/>
    <w:rsid w:val="00F37AF6"/>
    <w:rsid w:val="00F44B2B"/>
    <w:rsid w:val="00F517B8"/>
    <w:rsid w:val="00F73E1E"/>
    <w:rsid w:val="00F759ED"/>
    <w:rsid w:val="00FA74B2"/>
    <w:rsid w:val="00FB1A82"/>
    <w:rsid w:val="00FC2098"/>
    <w:rsid w:val="00FE1E6E"/>
    <w:rsid w:val="00FE365D"/>
    <w:rsid w:val="72578C8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9D4ED"/>
  <w15:chartTrackingRefBased/>
  <w15:docId w15:val="{800EF570-BED7-47D0-BBBA-C340C00EC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B3D"/>
    <w:pPr>
      <w:spacing w:after="120"/>
    </w:pPr>
    <w:rPr>
      <w:rFonts w:ascii="Aptos" w:hAnsi="Aptos"/>
      <w:color w:val="000000"/>
      <w:sz w:val="21"/>
    </w:rPr>
  </w:style>
  <w:style w:type="paragraph" w:styleId="Titre1">
    <w:name w:val="heading 1"/>
    <w:basedOn w:val="Normal"/>
    <w:next w:val="Normal"/>
    <w:link w:val="Titre1Car"/>
    <w:uiPriority w:val="9"/>
    <w:qFormat/>
    <w:rsid w:val="004717E0"/>
    <w:pPr>
      <w:keepNext/>
      <w:keepLines/>
      <w:spacing w:before="160" w:after="140"/>
      <w:outlineLvl w:val="0"/>
    </w:pPr>
    <w:rPr>
      <w:rFonts w:asciiTheme="majorHAnsi" w:eastAsiaTheme="majorEastAsia" w:hAnsiTheme="majorHAnsi" w:cstheme="majorBidi"/>
      <w:b/>
      <w:kern w:val="2"/>
      <w:sz w:val="36"/>
      <w:szCs w:val="40"/>
      <w14:ligatures w14:val="standardContextual"/>
    </w:rPr>
  </w:style>
  <w:style w:type="paragraph" w:styleId="Titre2">
    <w:name w:val="heading 2"/>
    <w:basedOn w:val="Normal"/>
    <w:next w:val="Normal"/>
    <w:link w:val="Titre2Car"/>
    <w:uiPriority w:val="9"/>
    <w:unhideWhenUsed/>
    <w:qFormat/>
    <w:rsid w:val="00E664B1"/>
    <w:pPr>
      <w:keepNext/>
      <w:keepLines/>
      <w:spacing w:before="160" w:after="100"/>
      <w:outlineLvl w:val="1"/>
    </w:pPr>
    <w:rPr>
      <w:rFonts w:asciiTheme="majorHAnsi" w:eastAsiaTheme="majorEastAsia" w:hAnsiTheme="majorHAnsi" w:cstheme="majorBidi"/>
      <w:b/>
      <w:kern w:val="2"/>
      <w:sz w:val="28"/>
      <w:szCs w:val="32"/>
      <w14:ligatures w14:val="standardContextual"/>
    </w:rPr>
  </w:style>
  <w:style w:type="paragraph" w:styleId="Titre3">
    <w:name w:val="heading 3"/>
    <w:basedOn w:val="Normal"/>
    <w:next w:val="Normal"/>
    <w:link w:val="Titre3Car"/>
    <w:uiPriority w:val="9"/>
    <w:semiHidden/>
    <w:unhideWhenUsed/>
    <w:qFormat/>
    <w:rsid w:val="00CE3CF4"/>
    <w:pPr>
      <w:keepNext/>
      <w:keepLines/>
      <w:spacing w:before="40" w:after="0"/>
      <w:outlineLvl w:val="2"/>
    </w:pPr>
    <w:rPr>
      <w:rFonts w:asciiTheme="majorHAnsi" w:eastAsiaTheme="majorEastAsia" w:hAnsiTheme="majorHAnsi" w:cstheme="majorBidi"/>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E17837"/>
    <w:pPr>
      <w:tabs>
        <w:tab w:val="center" w:pos="4536"/>
        <w:tab w:val="right" w:pos="9072"/>
      </w:tabs>
      <w:spacing w:after="0" w:line="240" w:lineRule="auto"/>
    </w:pPr>
  </w:style>
  <w:style w:type="character" w:customStyle="1" w:styleId="En-tteCar">
    <w:name w:val="En-tête Car"/>
    <w:basedOn w:val="Policepardfaut"/>
    <w:link w:val="En-tte"/>
    <w:uiPriority w:val="99"/>
    <w:rsid w:val="00E17837"/>
  </w:style>
  <w:style w:type="paragraph" w:styleId="Pieddepage">
    <w:name w:val="footer"/>
    <w:basedOn w:val="Normal"/>
    <w:link w:val="PieddepageCar"/>
    <w:uiPriority w:val="99"/>
    <w:unhideWhenUsed/>
    <w:rsid w:val="00E1783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17837"/>
  </w:style>
  <w:style w:type="paragraph" w:styleId="Paragraphedeliste">
    <w:name w:val="List Paragraph"/>
    <w:basedOn w:val="Normal"/>
    <w:uiPriority w:val="34"/>
    <w:qFormat/>
    <w:rsid w:val="00304B3D"/>
    <w:pPr>
      <w:ind w:left="720"/>
      <w:contextualSpacing/>
    </w:pPr>
  </w:style>
  <w:style w:type="character" w:styleId="Lienhypertexte">
    <w:name w:val="Hyperlink"/>
    <w:basedOn w:val="Policepardfaut"/>
    <w:uiPriority w:val="99"/>
    <w:unhideWhenUsed/>
    <w:rsid w:val="001E1B36"/>
    <w:rPr>
      <w:color w:val="0000FF"/>
      <w:u w:val="single"/>
    </w:rPr>
  </w:style>
  <w:style w:type="character" w:styleId="Accentuation">
    <w:name w:val="Emphasis"/>
    <w:basedOn w:val="Policepardfaut"/>
    <w:uiPriority w:val="20"/>
    <w:qFormat/>
    <w:rsid w:val="001E1B36"/>
    <w:rPr>
      <w:i/>
      <w:iCs/>
    </w:rPr>
  </w:style>
  <w:style w:type="character" w:customStyle="1" w:styleId="break-words">
    <w:name w:val="break-words"/>
    <w:basedOn w:val="Policepardfaut"/>
    <w:rsid w:val="00141827"/>
  </w:style>
  <w:style w:type="paragraph" w:customStyle="1" w:styleId="Default">
    <w:name w:val="Default"/>
    <w:rsid w:val="006D58C7"/>
    <w:pPr>
      <w:autoSpaceDE w:val="0"/>
      <w:autoSpaceDN w:val="0"/>
      <w:adjustRightInd w:val="0"/>
      <w:spacing w:after="0" w:line="240" w:lineRule="auto"/>
    </w:pPr>
    <w:rPr>
      <w:rFonts w:ascii="Verdana" w:eastAsia="Times New Roman" w:hAnsi="Verdana" w:cs="Verdana"/>
      <w:color w:val="000000"/>
      <w:sz w:val="24"/>
      <w:szCs w:val="24"/>
      <w:lang w:val="en-GB" w:eastAsia="zh-CN"/>
    </w:rPr>
  </w:style>
  <w:style w:type="paragraph" w:styleId="NormalWeb">
    <w:name w:val="Normal (Web)"/>
    <w:basedOn w:val="Normal"/>
    <w:uiPriority w:val="99"/>
    <w:semiHidden/>
    <w:unhideWhenUsed/>
    <w:rsid w:val="000C24A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0C24AE"/>
    <w:rPr>
      <w:b/>
      <w:bCs/>
    </w:rPr>
  </w:style>
  <w:style w:type="character" w:customStyle="1" w:styleId="Titre1Car">
    <w:name w:val="Titre 1 Car"/>
    <w:basedOn w:val="Policepardfaut"/>
    <w:link w:val="Titre1"/>
    <w:uiPriority w:val="9"/>
    <w:rsid w:val="004717E0"/>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Titre2Car">
    <w:name w:val="Titre 2 Car"/>
    <w:basedOn w:val="Policepardfaut"/>
    <w:link w:val="Titre2"/>
    <w:uiPriority w:val="9"/>
    <w:rsid w:val="00E664B1"/>
    <w:rPr>
      <w:rFonts w:asciiTheme="majorHAnsi" w:eastAsiaTheme="majorEastAsia" w:hAnsiTheme="majorHAnsi" w:cstheme="majorBidi"/>
      <w:color w:val="2F5496" w:themeColor="accent1" w:themeShade="BF"/>
      <w:kern w:val="2"/>
      <w:sz w:val="32"/>
      <w:szCs w:val="32"/>
      <w14:ligatures w14:val="standardContextual"/>
    </w:rPr>
  </w:style>
  <w:style w:type="paragraph" w:styleId="Titre">
    <w:name w:val="Title"/>
    <w:basedOn w:val="Normal"/>
    <w:next w:val="Normal"/>
    <w:link w:val="TitreCar"/>
    <w:uiPriority w:val="10"/>
    <w:qFormat/>
    <w:rsid w:val="00411206"/>
    <w:pPr>
      <w:spacing w:after="300" w:line="240" w:lineRule="auto"/>
      <w:contextualSpacing/>
    </w:pPr>
    <w:rPr>
      <w:rFonts w:asciiTheme="majorHAnsi" w:eastAsiaTheme="majorEastAsia" w:hAnsiTheme="majorHAnsi" w:cstheme="majorBidi"/>
      <w:b/>
      <w:spacing w:val="5"/>
      <w:kern w:val="28"/>
      <w:sz w:val="50"/>
      <w:szCs w:val="52"/>
      <w:lang w:val="en-US"/>
    </w:rPr>
  </w:style>
  <w:style w:type="character" w:customStyle="1" w:styleId="TitreCar">
    <w:name w:val="Titre Car"/>
    <w:basedOn w:val="Policepardfaut"/>
    <w:link w:val="Titre"/>
    <w:uiPriority w:val="10"/>
    <w:rsid w:val="00411206"/>
    <w:rPr>
      <w:rFonts w:asciiTheme="majorHAnsi" w:eastAsiaTheme="majorEastAsia" w:hAnsiTheme="majorHAnsi" w:cstheme="majorBidi"/>
      <w:b/>
      <w:color w:val="660044"/>
      <w:spacing w:val="5"/>
      <w:kern w:val="28"/>
      <w:sz w:val="48"/>
      <w:szCs w:val="52"/>
      <w:lang w:val="en-US"/>
    </w:rPr>
  </w:style>
  <w:style w:type="paragraph" w:styleId="Listepuces">
    <w:name w:val="List Bullet"/>
    <w:basedOn w:val="Normal"/>
    <w:uiPriority w:val="99"/>
    <w:unhideWhenUsed/>
    <w:rsid w:val="00411206"/>
    <w:pPr>
      <w:numPr>
        <w:numId w:val="22"/>
      </w:numPr>
      <w:tabs>
        <w:tab w:val="clear" w:pos="360"/>
      </w:tabs>
      <w:ind w:left="0" w:firstLine="0"/>
      <w:contextualSpacing/>
    </w:pPr>
    <w:rPr>
      <w:rFonts w:eastAsiaTheme="minorEastAsia"/>
      <w:lang w:val="en-US"/>
    </w:rPr>
  </w:style>
  <w:style w:type="table" w:styleId="Grilledutableau">
    <w:name w:val="Table Grid"/>
    <w:basedOn w:val="TableauNormal"/>
    <w:uiPriority w:val="59"/>
    <w:rsid w:val="00411206"/>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semiHidden/>
    <w:rsid w:val="00CE3CF4"/>
    <w:rPr>
      <w:rFonts w:asciiTheme="majorHAnsi" w:eastAsiaTheme="majorEastAsia" w:hAnsiTheme="majorHAnsi" w:cstheme="majorBidi"/>
      <w:color w:val="1F3763" w:themeColor="accent1" w:themeShade="7F"/>
      <w:sz w:val="24"/>
      <w:szCs w:val="24"/>
    </w:rPr>
  </w:style>
  <w:style w:type="paragraph" w:styleId="Corpsdetexte">
    <w:name w:val="Body Text"/>
    <w:basedOn w:val="Normal"/>
    <w:link w:val="CorpsdetexteCar"/>
    <w:qFormat/>
    <w:rsid w:val="003556FF"/>
    <w:pPr>
      <w:spacing w:before="180" w:after="180" w:line="240" w:lineRule="auto"/>
    </w:pPr>
    <w:rPr>
      <w:sz w:val="24"/>
      <w:szCs w:val="24"/>
      <w:lang w:val="en-US"/>
    </w:rPr>
  </w:style>
  <w:style w:type="character" w:customStyle="1" w:styleId="CorpsdetexteCar">
    <w:name w:val="Corps de texte Car"/>
    <w:basedOn w:val="Policepardfaut"/>
    <w:link w:val="Corpsdetexte"/>
    <w:rsid w:val="003556FF"/>
    <w:rPr>
      <w:sz w:val="24"/>
      <w:szCs w:val="24"/>
      <w:lang w:val="en-US"/>
    </w:rPr>
  </w:style>
  <w:style w:type="paragraph" w:customStyle="1" w:styleId="FirstParagraph">
    <w:name w:val="First Paragraph"/>
    <w:basedOn w:val="Corpsdetexte"/>
    <w:next w:val="Corpsdetexte"/>
    <w:qFormat/>
    <w:rsid w:val="003556FF"/>
  </w:style>
  <w:style w:type="paragraph" w:customStyle="1" w:styleId="Compact">
    <w:name w:val="Compact"/>
    <w:basedOn w:val="Corpsdetexte"/>
    <w:qFormat/>
    <w:rsid w:val="003556FF"/>
    <w:pPr>
      <w:spacing w:before="36" w:after="36"/>
    </w:pPr>
  </w:style>
  <w:style w:type="paragraph" w:styleId="Lgende">
    <w:name w:val="caption"/>
    <w:basedOn w:val="Normal"/>
    <w:next w:val="Normal"/>
    <w:uiPriority w:val="35"/>
    <w:unhideWhenUsed/>
    <w:qFormat/>
    <w:rsid w:val="00160BEC"/>
    <w:pPr>
      <w:spacing w:line="240" w:lineRule="auto"/>
    </w:pPr>
    <w:rPr>
      <w:i/>
      <w:iCs/>
      <w:color w:val="44546A" w:themeColor="text2"/>
      <w:kern w:val="2"/>
      <w:sz w:val="18"/>
      <w:szCs w:val="18"/>
      <w14:ligatures w14:val="standardContextual"/>
    </w:rPr>
  </w:style>
  <w:style w:type="paragraph" w:customStyle="1" w:styleId="Small">
    <w:name w:val="Small"/>
    <w:rsid w:val="00775B74"/>
    <w:pPr>
      <w:spacing w:after="40" w:line="276" w:lineRule="auto"/>
    </w:pPr>
    <w:rPr>
      <w:rFonts w:ascii="Arial" w:eastAsiaTheme="minorEastAsia" w:hAnsi="Arial"/>
      <w:color w:val="5F6670"/>
      <w:sz w:val="16"/>
      <w:lang w:val="en-US"/>
    </w:rPr>
  </w:style>
  <w:style w:type="paragraph" w:customStyle="1" w:styleId="EpisodeTitle">
    <w:name w:val="Episode Title"/>
    <w:pPr>
      <w:keepNext/>
      <w:spacing w:before="160" w:after="40"/>
    </w:pPr>
    <w:rPr>
      <w:rFonts w:ascii="Aptos" w:hAnsi="Aptos"/>
      <w:b/>
      <w:color w:val="660044"/>
      <w:sz w:val="23"/>
    </w:rPr>
  </w:style>
  <w:style w:type="paragraph" w:customStyle="1" w:styleId="EpisodeMeta">
    <w:name w:val="Episode Meta"/>
    <w:pPr>
      <w:keepNext/>
      <w:spacing w:after="40"/>
    </w:pPr>
    <w:rPr>
      <w:rFonts w:ascii="Aptos" w:hAnsi="Aptos"/>
      <w:i/>
      <w:color w:val="315D7A"/>
      <w:sz w:val="18"/>
    </w:rPr>
  </w:style>
  <w:style w:type="paragraph" w:customStyle="1" w:styleId="EpisodeLink">
    <w:name w:val="Episode Link"/>
    <w:pPr>
      <w:spacing w:after="80"/>
    </w:pPr>
    <w:rPr>
      <w:rFonts w:ascii="Aptos" w:hAnsi="Aptos"/>
      <w:sz w:val="18"/>
    </w:rPr>
  </w:style>
  <w:style w:type="paragraph" w:customStyle="1" w:styleId="Kicker">
    <w:name w:val="Kicker"/>
    <w:pPr>
      <w:spacing w:after="120"/>
    </w:pPr>
    <w:rPr>
      <w:rFonts w:ascii="Aptos" w:hAnsi="Aptos"/>
      <w:b/>
      <w:color w:val="660044"/>
      <w:sz w:val="24"/>
    </w:rPr>
  </w:style>
  <w:style w:type="paragraph" w:customStyle="1" w:styleId="Sous-titre1">
    <w:name w:val="Sous-titre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059735">
      <w:bodyDiv w:val="1"/>
      <w:marLeft w:val="0"/>
      <w:marRight w:val="0"/>
      <w:marTop w:val="0"/>
      <w:marBottom w:val="0"/>
      <w:divBdr>
        <w:top w:val="none" w:sz="0" w:space="0" w:color="auto"/>
        <w:left w:val="none" w:sz="0" w:space="0" w:color="auto"/>
        <w:bottom w:val="none" w:sz="0" w:space="0" w:color="auto"/>
        <w:right w:val="none" w:sz="0" w:space="0" w:color="auto"/>
      </w:divBdr>
    </w:div>
    <w:div w:id="1284732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odcast.ausha.co/top-manager-prendre-soin-de-soi-pour-une-performance-durable/episode-10-le-temps-long-du-leade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odcast.ausha.co/top-manager-prendre-soin-de-soi-pour-une-performance-durable/episode-4-gerer-vos-temps-de-recuper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odcast.ausha.co/top-manager-prendre-soin-de-soi-pour-une-performance-durable/episode-1-decider-sous-pression"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podcast.ausha.co/top-manager-prendre-soin-de-soi-pour-une-performance-durable/episode-2-ce-qu-il-m-a-fallu-apprendr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08e9df5-7474-4666-ad63-bc6256b10621">
      <Terms xmlns="http://schemas.microsoft.com/office/infopath/2007/PartnerControls"/>
    </lcf76f155ced4ddcb4097134ff3c332f>
    <TaxCatchAll xmlns="481d5341-2dd5-4bb0-bc5f-fc07228cb12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71D77FBD732742B770584D19635A1B" ma:contentTypeVersion="16" ma:contentTypeDescription="Crée un document." ma:contentTypeScope="" ma:versionID="1c008f4adda4cfd86d91f767d2bac0de">
  <xsd:schema xmlns:xsd="http://www.w3.org/2001/XMLSchema" xmlns:xs="http://www.w3.org/2001/XMLSchema" xmlns:p="http://schemas.microsoft.com/office/2006/metadata/properties" xmlns:ns2="e08e9df5-7474-4666-ad63-bc6256b10621" xmlns:ns3="481d5341-2dd5-4bb0-bc5f-fc07228cb12a" targetNamespace="http://schemas.microsoft.com/office/2006/metadata/properties" ma:root="true" ma:fieldsID="1eacc0ced5f82b01f26fb12cf752f725" ns2:_="" ns3:_="">
    <xsd:import namespace="e08e9df5-7474-4666-ad63-bc6256b10621"/>
    <xsd:import namespace="481d5341-2dd5-4bb0-bc5f-fc07228cb1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8e9df5-7474-4666-ad63-bc6256b106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59f7d3fc-8b06-48fd-aa79-2eb5f37294d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1d5341-2dd5-4bb0-bc5f-fc07228cb12a" elementFormDefault="qualified">
    <xsd:import namespace="http://schemas.microsoft.com/office/2006/documentManagement/types"/>
    <xsd:import namespace="http://schemas.microsoft.com/office/infopath/2007/PartnerControls"/>
    <xsd:element name="SharedWithUsers" ma:index="1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977237bf-47b7-46e0-ab0f-541d836fef5d}" ma:internalName="TaxCatchAll" ma:showField="CatchAllData" ma:web="481d5341-2dd5-4bb0-bc5f-fc07228cb1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19339B-F7C8-48CB-9C6E-C67A01FEDDDC}">
  <ds:schemaRefs>
    <ds:schemaRef ds:uri="http://schemas.microsoft.com/sharepoint/v3/contenttype/forms"/>
  </ds:schemaRefs>
</ds:datastoreItem>
</file>

<file path=customXml/itemProps2.xml><?xml version="1.0" encoding="utf-8"?>
<ds:datastoreItem xmlns:ds="http://schemas.openxmlformats.org/officeDocument/2006/customXml" ds:itemID="{20D2FCA7-CF1E-4720-B87D-124B94279565}">
  <ds:schemaRefs>
    <ds:schemaRef ds:uri="http://schemas.microsoft.com/office/2006/metadata/properties"/>
    <ds:schemaRef ds:uri="http://schemas.microsoft.com/office/infopath/2007/PartnerControls"/>
    <ds:schemaRef ds:uri="e08e9df5-7474-4666-ad63-bc6256b10621"/>
    <ds:schemaRef ds:uri="481d5341-2dd5-4bb0-bc5f-fc07228cb12a"/>
  </ds:schemaRefs>
</ds:datastoreItem>
</file>

<file path=customXml/itemProps3.xml><?xml version="1.0" encoding="utf-8"?>
<ds:datastoreItem xmlns:ds="http://schemas.openxmlformats.org/officeDocument/2006/customXml" ds:itemID="{872BC0AA-0A12-4FE2-B165-C4A33F816B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8e9df5-7474-4666-ad63-bc6256b10621"/>
    <ds:schemaRef ds:uri="481d5341-2dd5-4bb0-bc5f-fc07228cb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1174</Words>
  <Characters>6460</Characters>
  <Application>Microsoft Office Word</Application>
  <DocSecurity>0</DocSecurity>
  <Lines>53</Lines>
  <Paragraphs>15</Paragraphs>
  <ScaleCrop>false</ScaleCrop>
  <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Tootak Academy — Diriger au sommet</dc:title>
  <dc:subject>Fiche programme — deux parcours pour dirigeants et futurs dirigeants</dc:subject>
  <dc:creator>Tootak</dc:creator>
  <cp:keywords>Tootak Academy, Diriger au sommet, Comex, dirigeants, stratégie, performance durable</cp:keywords>
  <dc:description/>
  <cp:lastModifiedBy>Pierre DENIS</cp:lastModifiedBy>
  <cp:revision>2</cp:revision>
  <cp:lastPrinted>2026-05-29T08:04:00Z</cp:lastPrinted>
  <dcterms:created xsi:type="dcterms:W3CDTF">2026-09-18T13:08:00Z</dcterms:created>
  <dcterms:modified xsi:type="dcterms:W3CDTF">2026-09-18T13:08:00Z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0x010100EF71D77FBD732742B770584D19635A1B</vt:lpwstr>
  </property>
  <property fmtid="{D5CDD505-2E9C-101B-9397-08002B2CF9AE}" pid="3" name="MediaServiceImageTags">
    <vt:lpwstr/>
  </property>
</Properties>
</file>